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65"/>
        <w:tblW w:w="0" w:type="auto"/>
        <w:tblLook w:val="04A0" w:firstRow="1" w:lastRow="0" w:firstColumn="1" w:lastColumn="0" w:noHBand="0" w:noVBand="1"/>
      </w:tblPr>
      <w:tblGrid>
        <w:gridCol w:w="9576"/>
      </w:tblGrid>
      <w:tr w:rsidR="004341CC" w14:paraId="005E8D4D" w14:textId="77777777" w:rsidTr="00E71ED9">
        <w:tc>
          <w:tcPr>
            <w:tcW w:w="9576" w:type="dxa"/>
            <w:tcBorders>
              <w:top w:val="nil"/>
              <w:left w:val="nil"/>
              <w:bottom w:val="nil"/>
              <w:right w:val="nil"/>
            </w:tcBorders>
          </w:tcPr>
          <w:p w14:paraId="3C75D296" w14:textId="77777777" w:rsidR="00B62008" w:rsidRPr="00B62008" w:rsidRDefault="00B62008" w:rsidP="0040680E">
            <w:pPr>
              <w:spacing w:after="0"/>
              <w:rPr>
                <w:rFonts w:ascii="Arial" w:hAnsi="Arial" w:cs="Arial"/>
                <w:b/>
              </w:rPr>
            </w:pPr>
            <w:bookmarkStart w:id="0" w:name="_GoBack"/>
            <w:bookmarkEnd w:id="0"/>
          </w:p>
          <w:p w14:paraId="0F1C950B" w14:textId="77777777" w:rsidR="00942E08" w:rsidRPr="00942E08" w:rsidRDefault="00942E08" w:rsidP="00B62008">
            <w:pPr>
              <w:spacing w:after="0"/>
              <w:jc w:val="center"/>
              <w:rPr>
                <w:rFonts w:ascii="Arial" w:hAnsi="Arial" w:cs="Arial"/>
                <w:b/>
                <w:sz w:val="48"/>
                <w:szCs w:val="48"/>
              </w:rPr>
            </w:pPr>
            <w:r w:rsidRPr="00942E08">
              <w:rPr>
                <w:rFonts w:ascii="Arial" w:hAnsi="Arial" w:cs="Arial"/>
                <w:b/>
                <w:sz w:val="48"/>
                <w:szCs w:val="48"/>
              </w:rPr>
              <w:t xml:space="preserve">Connecticut Consumer Electronics Potential Study </w:t>
            </w:r>
          </w:p>
          <w:p w14:paraId="568E8496" w14:textId="77777777" w:rsidR="004341CC" w:rsidRPr="00942E08" w:rsidRDefault="00942E08" w:rsidP="00B62008">
            <w:pPr>
              <w:spacing w:after="0"/>
              <w:jc w:val="center"/>
              <w:rPr>
                <w:rFonts w:ascii="Arial" w:hAnsi="Arial" w:cs="Arial"/>
                <w:b/>
                <w:sz w:val="48"/>
                <w:szCs w:val="48"/>
              </w:rPr>
            </w:pPr>
            <w:r w:rsidRPr="00942E08">
              <w:rPr>
                <w:rFonts w:ascii="Arial" w:hAnsi="Arial" w:cs="Arial"/>
                <w:b/>
                <w:sz w:val="48"/>
                <w:szCs w:val="48"/>
              </w:rPr>
              <w:t>Quantitative Literature Review</w:t>
            </w:r>
          </w:p>
          <w:p w14:paraId="3481542C" w14:textId="77777777" w:rsidR="00942E08" w:rsidRDefault="00942E08" w:rsidP="00B62008">
            <w:pPr>
              <w:spacing w:after="0"/>
              <w:jc w:val="center"/>
              <w:rPr>
                <w:rFonts w:ascii="Arial" w:hAnsi="Arial" w:cs="Arial"/>
                <w:b/>
                <w:i/>
                <w:sz w:val="48"/>
                <w:szCs w:val="48"/>
              </w:rPr>
            </w:pPr>
            <w:r>
              <w:rPr>
                <w:rFonts w:ascii="Arial" w:hAnsi="Arial" w:cs="Arial"/>
                <w:b/>
                <w:i/>
                <w:sz w:val="48"/>
                <w:szCs w:val="48"/>
              </w:rPr>
              <w:t>DRAFT – Study R84</w:t>
            </w:r>
          </w:p>
          <w:p w14:paraId="6086E21E" w14:textId="77777777" w:rsidR="00B62008" w:rsidRDefault="00B62008" w:rsidP="00B62008">
            <w:pPr>
              <w:spacing w:after="0"/>
              <w:jc w:val="center"/>
              <w:rPr>
                <w:rFonts w:ascii="Arial" w:hAnsi="Arial" w:cs="Arial"/>
                <w:b/>
                <w:i/>
              </w:rPr>
            </w:pPr>
          </w:p>
          <w:sdt>
            <w:sdtPr>
              <w:rPr>
                <w:rFonts w:ascii="Arial" w:hAnsi="Arial" w:cs="Arial"/>
                <w:b/>
                <w:sz w:val="32"/>
                <w:szCs w:val="32"/>
              </w:rPr>
              <w:id w:val="27234171"/>
              <w:placeholder>
                <w:docPart w:val="F4E331059EB74FCAA792E05979931C90"/>
              </w:placeholder>
              <w:date w:fullDate="2014-10-23T00:00:00Z">
                <w:dateFormat w:val="M/d/yyyy"/>
                <w:lid w:val="en-US"/>
                <w:storeMappedDataAs w:val="dateTime"/>
                <w:calendar w:val="gregorian"/>
              </w:date>
            </w:sdtPr>
            <w:sdtEndPr/>
            <w:sdtContent>
              <w:p w14:paraId="319D7357" w14:textId="43C51D33" w:rsidR="00B62008" w:rsidRPr="00B62008" w:rsidRDefault="003118C2" w:rsidP="0019314E">
                <w:pPr>
                  <w:spacing w:after="0"/>
                  <w:jc w:val="center"/>
                  <w:rPr>
                    <w:rFonts w:ascii="Arial" w:hAnsi="Arial" w:cs="Arial"/>
                    <w:b/>
                    <w:sz w:val="32"/>
                    <w:szCs w:val="32"/>
                  </w:rPr>
                </w:pPr>
                <w:r>
                  <w:rPr>
                    <w:rFonts w:ascii="Arial" w:hAnsi="Arial" w:cs="Arial"/>
                    <w:b/>
                    <w:sz w:val="32"/>
                    <w:szCs w:val="32"/>
                  </w:rPr>
                  <w:t>10/23/2014</w:t>
                </w:r>
              </w:p>
            </w:sdtContent>
          </w:sdt>
        </w:tc>
      </w:tr>
    </w:tbl>
    <w:p w14:paraId="465F7B65" w14:textId="77777777" w:rsidR="00B62008" w:rsidRDefault="00B62008" w:rsidP="004341CC"/>
    <w:p w14:paraId="580DA2EA" w14:textId="77777777" w:rsidR="00E71ED9" w:rsidRDefault="00E71ED9" w:rsidP="004341CC"/>
    <w:p w14:paraId="1E2FCF57" w14:textId="77777777" w:rsidR="00B62008" w:rsidRDefault="00B62008" w:rsidP="004341CC"/>
    <w:tbl>
      <w:tblPr>
        <w:tblStyle w:val="TableGrid"/>
        <w:tblW w:w="0" w:type="auto"/>
        <w:tblLook w:val="04A0" w:firstRow="1" w:lastRow="0" w:firstColumn="1" w:lastColumn="0" w:noHBand="0" w:noVBand="1"/>
      </w:tblPr>
      <w:tblGrid>
        <w:gridCol w:w="9576"/>
      </w:tblGrid>
      <w:tr w:rsidR="00B62008" w14:paraId="371338F2" w14:textId="77777777" w:rsidTr="00E71ED9">
        <w:tc>
          <w:tcPr>
            <w:tcW w:w="9576" w:type="dxa"/>
            <w:tcBorders>
              <w:top w:val="nil"/>
              <w:left w:val="nil"/>
              <w:bottom w:val="nil"/>
              <w:right w:val="nil"/>
            </w:tcBorders>
          </w:tcPr>
          <w:p w14:paraId="2B31F866" w14:textId="77777777" w:rsidR="00B62008" w:rsidRPr="00B62008" w:rsidRDefault="00B62008" w:rsidP="00B62008">
            <w:pPr>
              <w:spacing w:after="0"/>
              <w:jc w:val="center"/>
              <w:rPr>
                <w:rFonts w:ascii="Arial" w:hAnsi="Arial" w:cs="Arial"/>
                <w:b/>
                <w:sz w:val="32"/>
                <w:szCs w:val="32"/>
              </w:rPr>
            </w:pPr>
          </w:p>
        </w:tc>
      </w:tr>
    </w:tbl>
    <w:p w14:paraId="777C7839" w14:textId="77777777" w:rsidR="00B62008" w:rsidRDefault="00B62008" w:rsidP="004341CC"/>
    <w:p w14:paraId="7D1D1A84" w14:textId="77777777" w:rsidR="00B62008" w:rsidRDefault="00B62008" w:rsidP="004341CC"/>
    <w:tbl>
      <w:tblPr>
        <w:tblStyle w:val="TableGrid"/>
        <w:tblW w:w="0" w:type="auto"/>
        <w:tblLook w:val="04A0" w:firstRow="1" w:lastRow="0" w:firstColumn="1" w:lastColumn="0" w:noHBand="0" w:noVBand="1"/>
      </w:tblPr>
      <w:tblGrid>
        <w:gridCol w:w="9576"/>
      </w:tblGrid>
      <w:tr w:rsidR="00B62008" w14:paraId="32FE0ED6" w14:textId="77777777" w:rsidTr="00E71ED9">
        <w:tc>
          <w:tcPr>
            <w:tcW w:w="9576" w:type="dxa"/>
            <w:tcBorders>
              <w:top w:val="nil"/>
              <w:left w:val="nil"/>
              <w:bottom w:val="nil"/>
              <w:right w:val="nil"/>
            </w:tcBorders>
          </w:tcPr>
          <w:p w14:paraId="608F24E0" w14:textId="77777777" w:rsidR="00B62008" w:rsidRDefault="00B62008" w:rsidP="00B62008">
            <w:pPr>
              <w:jc w:val="center"/>
              <w:rPr>
                <w:rFonts w:ascii="Arial" w:hAnsi="Arial" w:cs="Arial"/>
                <w:b/>
                <w:szCs w:val="24"/>
              </w:rPr>
            </w:pPr>
            <w:r>
              <w:rPr>
                <w:rFonts w:ascii="Arial" w:hAnsi="Arial" w:cs="Arial"/>
                <w:b/>
                <w:szCs w:val="24"/>
              </w:rPr>
              <w:t>Submitted to:</w:t>
            </w:r>
          </w:p>
          <w:p w14:paraId="6E868701" w14:textId="77777777" w:rsidR="00E71ED9" w:rsidRDefault="00942E08" w:rsidP="00B62008">
            <w:pPr>
              <w:jc w:val="center"/>
              <w:rPr>
                <w:rFonts w:ascii="Arial" w:hAnsi="Arial" w:cs="Arial"/>
                <w:b/>
                <w:sz w:val="32"/>
                <w:szCs w:val="32"/>
              </w:rPr>
            </w:pPr>
            <w:r>
              <w:rPr>
                <w:rFonts w:ascii="Arial" w:hAnsi="Arial" w:cs="Arial"/>
                <w:b/>
                <w:sz w:val="32"/>
                <w:szCs w:val="32"/>
              </w:rPr>
              <w:t>Connecticut Energy Efficiency Board</w:t>
            </w:r>
          </w:p>
          <w:p w14:paraId="39F62534" w14:textId="77777777" w:rsidR="00E71ED9" w:rsidRPr="00B62008" w:rsidRDefault="00E71ED9" w:rsidP="00942E08">
            <w:pPr>
              <w:jc w:val="center"/>
              <w:rPr>
                <w:rFonts w:ascii="Arial" w:hAnsi="Arial" w:cs="Arial"/>
                <w:b/>
                <w:sz w:val="32"/>
                <w:szCs w:val="32"/>
              </w:rPr>
            </w:pPr>
          </w:p>
        </w:tc>
      </w:tr>
    </w:tbl>
    <w:p w14:paraId="578C0481" w14:textId="77777777" w:rsidR="00B62008" w:rsidRDefault="00B62008" w:rsidP="004341CC"/>
    <w:p w14:paraId="31959DC2" w14:textId="77777777" w:rsidR="00B62008" w:rsidRDefault="00B62008" w:rsidP="004341CC"/>
    <w:tbl>
      <w:tblPr>
        <w:tblStyle w:val="TableGrid"/>
        <w:tblW w:w="0" w:type="auto"/>
        <w:tblLook w:val="04A0" w:firstRow="1" w:lastRow="0" w:firstColumn="1" w:lastColumn="0" w:noHBand="0" w:noVBand="1"/>
      </w:tblPr>
      <w:tblGrid>
        <w:gridCol w:w="9576"/>
      </w:tblGrid>
      <w:tr w:rsidR="00B62008" w14:paraId="65E55BBB" w14:textId="77777777" w:rsidTr="00E71ED9">
        <w:tc>
          <w:tcPr>
            <w:tcW w:w="9576" w:type="dxa"/>
            <w:tcBorders>
              <w:top w:val="nil"/>
              <w:left w:val="nil"/>
              <w:bottom w:val="nil"/>
              <w:right w:val="nil"/>
            </w:tcBorders>
          </w:tcPr>
          <w:p w14:paraId="53D1ED99" w14:textId="77777777" w:rsidR="00B62008" w:rsidRDefault="00B62008" w:rsidP="00B62008">
            <w:pPr>
              <w:jc w:val="center"/>
              <w:rPr>
                <w:rFonts w:ascii="Arial" w:hAnsi="Arial" w:cs="Arial"/>
                <w:b/>
                <w:szCs w:val="24"/>
              </w:rPr>
            </w:pPr>
            <w:r>
              <w:rPr>
                <w:rFonts w:ascii="Arial" w:hAnsi="Arial" w:cs="Arial"/>
                <w:b/>
                <w:szCs w:val="24"/>
              </w:rPr>
              <w:t>Submitted by:</w:t>
            </w:r>
          </w:p>
          <w:p w14:paraId="3794E36B" w14:textId="77777777" w:rsidR="00E71ED9" w:rsidRPr="00B62008" w:rsidRDefault="00917EF7" w:rsidP="00B62008">
            <w:pPr>
              <w:jc w:val="center"/>
              <w:rPr>
                <w:rFonts w:ascii="Arial" w:hAnsi="Arial" w:cs="Arial"/>
                <w:b/>
                <w:sz w:val="32"/>
                <w:szCs w:val="32"/>
              </w:rPr>
            </w:pPr>
            <w:r>
              <w:rPr>
                <w:rFonts w:ascii="Arial" w:hAnsi="Arial" w:cs="Arial"/>
                <w:b/>
                <w:sz w:val="32"/>
                <w:szCs w:val="32"/>
              </w:rPr>
              <w:t>NMR Group, Inc.</w:t>
            </w:r>
          </w:p>
        </w:tc>
      </w:tr>
    </w:tbl>
    <w:p w14:paraId="2AFD094D" w14:textId="77777777" w:rsidR="00E71ED9" w:rsidRDefault="00E71ED9" w:rsidP="004341CC">
      <w:pPr>
        <w:sectPr w:rsidR="00E71ED9" w:rsidSect="004341CC">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85A85D2" w14:textId="77777777" w:rsidR="00623A07" w:rsidRPr="00DC0C51" w:rsidRDefault="00DC0C51" w:rsidP="00AE0F34">
      <w:pPr>
        <w:pStyle w:val="TOCTitle"/>
      </w:pPr>
      <w:r>
        <w:lastRenderedPageBreak/>
        <w:t>Contents</w:t>
      </w:r>
      <w:r w:rsidR="00AE0F34">
        <w:t xml:space="preserve"> </w:t>
      </w:r>
    </w:p>
    <w:sdt>
      <w:sdtPr>
        <w:rPr>
          <w:rFonts w:ascii="Times New Roman" w:hAnsi="Times New Roman"/>
          <w:b w:val="0"/>
          <w:caps/>
          <w:smallCaps w:val="0"/>
          <w:lang w:bidi="en-US"/>
        </w:rPr>
        <w:id w:val="34230450"/>
        <w:docPartObj>
          <w:docPartGallery w:val="Table of Contents"/>
          <w:docPartUnique/>
        </w:docPartObj>
      </w:sdtPr>
      <w:sdtEndPr>
        <w:rPr>
          <w:caps w:val="0"/>
        </w:rPr>
      </w:sdtEndPr>
      <w:sdtContent>
        <w:p w14:paraId="2EC05293" w14:textId="77777777" w:rsidR="00ED6A5C" w:rsidRDefault="006F0352">
          <w:pPr>
            <w:pStyle w:val="TOC1"/>
            <w:rPr>
              <w:rFonts w:asciiTheme="minorHAnsi" w:hAnsiTheme="minorHAnsi"/>
              <w:b w:val="0"/>
              <w:smallCaps w:val="0"/>
              <w:noProof/>
              <w:sz w:val="22"/>
            </w:rPr>
          </w:pPr>
          <w:r>
            <w:rPr>
              <w:caps/>
              <w:sz w:val="20"/>
            </w:rPr>
            <w:fldChar w:fldCharType="begin"/>
          </w:r>
          <w:r w:rsidR="00623A07">
            <w:instrText xml:space="preserve"> TOC \o "1-3" \h \z \u </w:instrText>
          </w:r>
          <w:r>
            <w:rPr>
              <w:caps/>
              <w:sz w:val="20"/>
            </w:rPr>
            <w:fldChar w:fldCharType="separate"/>
          </w:r>
          <w:hyperlink w:anchor="_Toc401667837" w:history="1">
            <w:r w:rsidR="00ED6A5C" w:rsidRPr="000C16F0">
              <w:rPr>
                <w:rStyle w:val="Hyperlink"/>
                <w:noProof/>
                <w:lang w:bidi="en-US"/>
              </w:rPr>
              <w:t>Executive Summary</w:t>
            </w:r>
            <w:r w:rsidR="00ED6A5C">
              <w:rPr>
                <w:noProof/>
                <w:webHidden/>
              </w:rPr>
              <w:tab/>
            </w:r>
            <w:r w:rsidR="00ED6A5C">
              <w:rPr>
                <w:noProof/>
                <w:webHidden/>
              </w:rPr>
              <w:fldChar w:fldCharType="begin"/>
            </w:r>
            <w:r w:rsidR="00ED6A5C">
              <w:rPr>
                <w:noProof/>
                <w:webHidden/>
              </w:rPr>
              <w:instrText xml:space="preserve"> PAGEREF _Toc401667837 \h </w:instrText>
            </w:r>
            <w:r w:rsidR="00ED6A5C">
              <w:rPr>
                <w:noProof/>
                <w:webHidden/>
              </w:rPr>
            </w:r>
            <w:r w:rsidR="00ED6A5C">
              <w:rPr>
                <w:noProof/>
                <w:webHidden/>
              </w:rPr>
              <w:fldChar w:fldCharType="separate"/>
            </w:r>
            <w:r w:rsidR="00302A02">
              <w:rPr>
                <w:noProof/>
                <w:webHidden/>
              </w:rPr>
              <w:t>I</w:t>
            </w:r>
            <w:r w:rsidR="00ED6A5C">
              <w:rPr>
                <w:noProof/>
                <w:webHidden/>
              </w:rPr>
              <w:fldChar w:fldCharType="end"/>
            </w:r>
          </w:hyperlink>
        </w:p>
        <w:p w14:paraId="232CAB78" w14:textId="77777777" w:rsidR="00ED6A5C" w:rsidRDefault="00302A02">
          <w:pPr>
            <w:pStyle w:val="TOC1"/>
            <w:rPr>
              <w:rFonts w:asciiTheme="minorHAnsi" w:hAnsiTheme="minorHAnsi"/>
              <w:b w:val="0"/>
              <w:smallCaps w:val="0"/>
              <w:noProof/>
              <w:sz w:val="22"/>
            </w:rPr>
          </w:pPr>
          <w:hyperlink w:anchor="_Toc401667838" w:history="1">
            <w:r w:rsidR="00ED6A5C" w:rsidRPr="000C16F0">
              <w:rPr>
                <w:rStyle w:val="Hyperlink"/>
                <w:rFonts w:cs="Arial"/>
                <w:noProof/>
                <w:lang w:bidi="en-US"/>
              </w:rPr>
              <w:t>1</w:t>
            </w:r>
            <w:r w:rsidR="00ED6A5C">
              <w:rPr>
                <w:rFonts w:asciiTheme="minorHAnsi" w:hAnsiTheme="minorHAnsi"/>
                <w:b w:val="0"/>
                <w:smallCaps w:val="0"/>
                <w:noProof/>
                <w:sz w:val="22"/>
              </w:rPr>
              <w:tab/>
            </w:r>
            <w:r w:rsidR="00ED6A5C" w:rsidRPr="000C16F0">
              <w:rPr>
                <w:rStyle w:val="Hyperlink"/>
                <w:noProof/>
                <w:lang w:bidi="en-US"/>
              </w:rPr>
              <w:t>Introduction</w:t>
            </w:r>
            <w:r w:rsidR="00ED6A5C">
              <w:rPr>
                <w:noProof/>
                <w:webHidden/>
              </w:rPr>
              <w:tab/>
            </w:r>
            <w:r w:rsidR="00ED6A5C">
              <w:rPr>
                <w:noProof/>
                <w:webHidden/>
              </w:rPr>
              <w:fldChar w:fldCharType="begin"/>
            </w:r>
            <w:r w:rsidR="00ED6A5C">
              <w:rPr>
                <w:noProof/>
                <w:webHidden/>
              </w:rPr>
              <w:instrText xml:space="preserve"> PAGEREF _Toc401667838 \h </w:instrText>
            </w:r>
            <w:r w:rsidR="00ED6A5C">
              <w:rPr>
                <w:noProof/>
                <w:webHidden/>
              </w:rPr>
            </w:r>
            <w:r w:rsidR="00ED6A5C">
              <w:rPr>
                <w:noProof/>
                <w:webHidden/>
              </w:rPr>
              <w:fldChar w:fldCharType="separate"/>
            </w:r>
            <w:r>
              <w:rPr>
                <w:noProof/>
                <w:webHidden/>
              </w:rPr>
              <w:t>1</w:t>
            </w:r>
            <w:r w:rsidR="00ED6A5C">
              <w:rPr>
                <w:noProof/>
                <w:webHidden/>
              </w:rPr>
              <w:fldChar w:fldCharType="end"/>
            </w:r>
          </w:hyperlink>
        </w:p>
        <w:p w14:paraId="03BADAD0" w14:textId="77777777" w:rsidR="00ED6A5C" w:rsidRDefault="00302A02">
          <w:pPr>
            <w:pStyle w:val="TOC1"/>
            <w:rPr>
              <w:rFonts w:asciiTheme="minorHAnsi" w:hAnsiTheme="minorHAnsi"/>
              <w:b w:val="0"/>
              <w:smallCaps w:val="0"/>
              <w:noProof/>
              <w:sz w:val="22"/>
            </w:rPr>
          </w:pPr>
          <w:hyperlink w:anchor="_Toc401667839" w:history="1">
            <w:r w:rsidR="00ED6A5C" w:rsidRPr="000C16F0">
              <w:rPr>
                <w:rStyle w:val="Hyperlink"/>
                <w:rFonts w:cs="Arial"/>
                <w:noProof/>
                <w:lang w:bidi="en-US"/>
              </w:rPr>
              <w:t>2</w:t>
            </w:r>
            <w:r w:rsidR="00ED6A5C">
              <w:rPr>
                <w:rFonts w:asciiTheme="minorHAnsi" w:hAnsiTheme="minorHAnsi"/>
                <w:b w:val="0"/>
                <w:smallCaps w:val="0"/>
                <w:noProof/>
                <w:sz w:val="22"/>
              </w:rPr>
              <w:tab/>
            </w:r>
            <w:r w:rsidR="00ED6A5C" w:rsidRPr="000C16F0">
              <w:rPr>
                <w:rStyle w:val="Hyperlink"/>
                <w:noProof/>
                <w:lang w:bidi="en-US"/>
              </w:rPr>
              <w:t>Methods and Background</w:t>
            </w:r>
            <w:r w:rsidR="00ED6A5C">
              <w:rPr>
                <w:noProof/>
                <w:webHidden/>
              </w:rPr>
              <w:tab/>
            </w:r>
            <w:r w:rsidR="00ED6A5C">
              <w:rPr>
                <w:noProof/>
                <w:webHidden/>
              </w:rPr>
              <w:fldChar w:fldCharType="begin"/>
            </w:r>
            <w:r w:rsidR="00ED6A5C">
              <w:rPr>
                <w:noProof/>
                <w:webHidden/>
              </w:rPr>
              <w:instrText xml:space="preserve"> PAGEREF _Toc401667839 \h </w:instrText>
            </w:r>
            <w:r w:rsidR="00ED6A5C">
              <w:rPr>
                <w:noProof/>
                <w:webHidden/>
              </w:rPr>
            </w:r>
            <w:r w:rsidR="00ED6A5C">
              <w:rPr>
                <w:noProof/>
                <w:webHidden/>
              </w:rPr>
              <w:fldChar w:fldCharType="separate"/>
            </w:r>
            <w:r>
              <w:rPr>
                <w:noProof/>
                <w:webHidden/>
              </w:rPr>
              <w:t>2</w:t>
            </w:r>
            <w:r w:rsidR="00ED6A5C">
              <w:rPr>
                <w:noProof/>
                <w:webHidden/>
              </w:rPr>
              <w:fldChar w:fldCharType="end"/>
            </w:r>
          </w:hyperlink>
        </w:p>
        <w:p w14:paraId="3269043A" w14:textId="77777777" w:rsidR="00ED6A5C" w:rsidRDefault="00302A02">
          <w:pPr>
            <w:pStyle w:val="TOC2"/>
            <w:rPr>
              <w:rFonts w:asciiTheme="minorHAnsi" w:hAnsiTheme="minorHAnsi" w:cstheme="minorBidi"/>
              <w:smallCaps w:val="0"/>
              <w:sz w:val="22"/>
              <w:szCs w:val="22"/>
            </w:rPr>
          </w:pPr>
          <w:hyperlink w:anchor="_Toc401667840" w:history="1">
            <w:r w:rsidR="00ED6A5C" w:rsidRPr="000C16F0">
              <w:rPr>
                <w:rStyle w:val="Hyperlink"/>
                <w:lang w:bidi="en-US"/>
              </w:rPr>
              <w:t>2.1</w:t>
            </w:r>
            <w:r w:rsidR="00ED6A5C">
              <w:rPr>
                <w:rFonts w:asciiTheme="minorHAnsi" w:hAnsiTheme="minorHAnsi" w:cstheme="minorBidi"/>
                <w:smallCaps w:val="0"/>
                <w:sz w:val="22"/>
                <w:szCs w:val="22"/>
              </w:rPr>
              <w:tab/>
            </w:r>
            <w:r w:rsidR="00ED6A5C" w:rsidRPr="000C16F0">
              <w:rPr>
                <w:rStyle w:val="Hyperlink"/>
                <w:lang w:bidi="en-US"/>
              </w:rPr>
              <w:t>Methodology</w:t>
            </w:r>
            <w:r w:rsidR="00ED6A5C">
              <w:rPr>
                <w:webHidden/>
              </w:rPr>
              <w:tab/>
            </w:r>
            <w:r w:rsidR="00ED6A5C">
              <w:rPr>
                <w:webHidden/>
              </w:rPr>
              <w:fldChar w:fldCharType="begin"/>
            </w:r>
            <w:r w:rsidR="00ED6A5C">
              <w:rPr>
                <w:webHidden/>
              </w:rPr>
              <w:instrText xml:space="preserve"> PAGEREF _Toc401667840 \h </w:instrText>
            </w:r>
            <w:r w:rsidR="00ED6A5C">
              <w:rPr>
                <w:webHidden/>
              </w:rPr>
            </w:r>
            <w:r w:rsidR="00ED6A5C">
              <w:rPr>
                <w:webHidden/>
              </w:rPr>
              <w:fldChar w:fldCharType="separate"/>
            </w:r>
            <w:r>
              <w:rPr>
                <w:webHidden/>
              </w:rPr>
              <w:t>2</w:t>
            </w:r>
            <w:r w:rsidR="00ED6A5C">
              <w:rPr>
                <w:webHidden/>
              </w:rPr>
              <w:fldChar w:fldCharType="end"/>
            </w:r>
          </w:hyperlink>
        </w:p>
        <w:p w14:paraId="01D3F46C" w14:textId="77777777" w:rsidR="00ED6A5C" w:rsidRDefault="00302A02">
          <w:pPr>
            <w:pStyle w:val="TOC2"/>
            <w:rPr>
              <w:rFonts w:asciiTheme="minorHAnsi" w:hAnsiTheme="minorHAnsi" w:cstheme="minorBidi"/>
              <w:smallCaps w:val="0"/>
              <w:sz w:val="22"/>
              <w:szCs w:val="22"/>
            </w:rPr>
          </w:pPr>
          <w:hyperlink w:anchor="_Toc401667841" w:history="1">
            <w:r w:rsidR="00ED6A5C" w:rsidRPr="000C16F0">
              <w:rPr>
                <w:rStyle w:val="Hyperlink"/>
                <w:lang w:bidi="en-US"/>
              </w:rPr>
              <w:t>2.2</w:t>
            </w:r>
            <w:r w:rsidR="00ED6A5C">
              <w:rPr>
                <w:rFonts w:asciiTheme="minorHAnsi" w:hAnsiTheme="minorHAnsi" w:cstheme="minorBidi"/>
                <w:smallCaps w:val="0"/>
                <w:sz w:val="22"/>
                <w:szCs w:val="22"/>
              </w:rPr>
              <w:tab/>
            </w:r>
            <w:r w:rsidR="00ED6A5C" w:rsidRPr="000C16F0">
              <w:rPr>
                <w:rStyle w:val="Hyperlink"/>
                <w:lang w:bidi="en-US"/>
              </w:rPr>
              <w:t>Product Categories and Energy Consumption</w:t>
            </w:r>
            <w:r w:rsidR="00ED6A5C">
              <w:rPr>
                <w:webHidden/>
              </w:rPr>
              <w:tab/>
            </w:r>
            <w:r w:rsidR="00ED6A5C">
              <w:rPr>
                <w:webHidden/>
              </w:rPr>
              <w:fldChar w:fldCharType="begin"/>
            </w:r>
            <w:r w:rsidR="00ED6A5C">
              <w:rPr>
                <w:webHidden/>
              </w:rPr>
              <w:instrText xml:space="preserve"> PAGEREF _Toc401667841 \h </w:instrText>
            </w:r>
            <w:r w:rsidR="00ED6A5C">
              <w:rPr>
                <w:webHidden/>
              </w:rPr>
            </w:r>
            <w:r w:rsidR="00ED6A5C">
              <w:rPr>
                <w:webHidden/>
              </w:rPr>
              <w:fldChar w:fldCharType="separate"/>
            </w:r>
            <w:r>
              <w:rPr>
                <w:webHidden/>
              </w:rPr>
              <w:t>3</w:t>
            </w:r>
            <w:r w:rsidR="00ED6A5C">
              <w:rPr>
                <w:webHidden/>
              </w:rPr>
              <w:fldChar w:fldCharType="end"/>
            </w:r>
          </w:hyperlink>
        </w:p>
        <w:p w14:paraId="3B54946C" w14:textId="77777777" w:rsidR="00ED6A5C" w:rsidRDefault="00302A02">
          <w:pPr>
            <w:pStyle w:val="TOC2"/>
            <w:rPr>
              <w:rFonts w:asciiTheme="minorHAnsi" w:hAnsiTheme="minorHAnsi" w:cstheme="minorBidi"/>
              <w:smallCaps w:val="0"/>
              <w:sz w:val="22"/>
              <w:szCs w:val="22"/>
            </w:rPr>
          </w:pPr>
          <w:hyperlink w:anchor="_Toc401667842" w:history="1">
            <w:r w:rsidR="00ED6A5C" w:rsidRPr="000C16F0">
              <w:rPr>
                <w:rStyle w:val="Hyperlink"/>
                <w:lang w:bidi="en-US"/>
              </w:rPr>
              <w:t>2.3</w:t>
            </w:r>
            <w:r w:rsidR="00ED6A5C">
              <w:rPr>
                <w:rFonts w:asciiTheme="minorHAnsi" w:hAnsiTheme="minorHAnsi" w:cstheme="minorBidi"/>
                <w:smallCaps w:val="0"/>
                <w:sz w:val="22"/>
                <w:szCs w:val="22"/>
              </w:rPr>
              <w:tab/>
            </w:r>
            <w:r w:rsidR="00ED6A5C" w:rsidRPr="000C16F0">
              <w:rPr>
                <w:rStyle w:val="Hyperlink"/>
                <w:lang w:bidi="en-US"/>
              </w:rPr>
              <w:t>Specifications, Recognitions, and Standards</w:t>
            </w:r>
            <w:r w:rsidR="00ED6A5C">
              <w:rPr>
                <w:webHidden/>
              </w:rPr>
              <w:tab/>
            </w:r>
            <w:r w:rsidR="00ED6A5C">
              <w:rPr>
                <w:webHidden/>
              </w:rPr>
              <w:fldChar w:fldCharType="begin"/>
            </w:r>
            <w:r w:rsidR="00ED6A5C">
              <w:rPr>
                <w:webHidden/>
              </w:rPr>
              <w:instrText xml:space="preserve"> PAGEREF _Toc401667842 \h </w:instrText>
            </w:r>
            <w:r w:rsidR="00ED6A5C">
              <w:rPr>
                <w:webHidden/>
              </w:rPr>
            </w:r>
            <w:r w:rsidR="00ED6A5C">
              <w:rPr>
                <w:webHidden/>
              </w:rPr>
              <w:fldChar w:fldCharType="separate"/>
            </w:r>
            <w:r>
              <w:rPr>
                <w:webHidden/>
              </w:rPr>
              <w:t>5</w:t>
            </w:r>
            <w:r w:rsidR="00ED6A5C">
              <w:rPr>
                <w:webHidden/>
              </w:rPr>
              <w:fldChar w:fldCharType="end"/>
            </w:r>
          </w:hyperlink>
        </w:p>
        <w:p w14:paraId="36CECE20" w14:textId="77777777" w:rsidR="00ED6A5C" w:rsidRDefault="00302A02">
          <w:pPr>
            <w:pStyle w:val="TOC1"/>
            <w:rPr>
              <w:rFonts w:asciiTheme="minorHAnsi" w:hAnsiTheme="minorHAnsi"/>
              <w:b w:val="0"/>
              <w:smallCaps w:val="0"/>
              <w:noProof/>
              <w:sz w:val="22"/>
            </w:rPr>
          </w:pPr>
          <w:hyperlink w:anchor="_Toc401667843" w:history="1">
            <w:r w:rsidR="00ED6A5C" w:rsidRPr="000C16F0">
              <w:rPr>
                <w:rStyle w:val="Hyperlink"/>
                <w:rFonts w:cs="Arial"/>
                <w:noProof/>
                <w:lang w:bidi="en-US"/>
              </w:rPr>
              <w:t>3</w:t>
            </w:r>
            <w:r w:rsidR="00ED6A5C">
              <w:rPr>
                <w:rFonts w:asciiTheme="minorHAnsi" w:hAnsiTheme="minorHAnsi"/>
                <w:b w:val="0"/>
                <w:smallCaps w:val="0"/>
                <w:noProof/>
                <w:sz w:val="22"/>
              </w:rPr>
              <w:tab/>
            </w:r>
            <w:r w:rsidR="00ED6A5C" w:rsidRPr="000C16F0">
              <w:rPr>
                <w:rStyle w:val="Hyperlink"/>
                <w:noProof/>
                <w:lang w:bidi="en-US"/>
              </w:rPr>
              <w:t>Energy Savings Opportunities</w:t>
            </w:r>
            <w:r w:rsidR="00ED6A5C">
              <w:rPr>
                <w:noProof/>
                <w:webHidden/>
              </w:rPr>
              <w:tab/>
            </w:r>
            <w:r w:rsidR="00ED6A5C">
              <w:rPr>
                <w:noProof/>
                <w:webHidden/>
              </w:rPr>
              <w:fldChar w:fldCharType="begin"/>
            </w:r>
            <w:r w:rsidR="00ED6A5C">
              <w:rPr>
                <w:noProof/>
                <w:webHidden/>
              </w:rPr>
              <w:instrText xml:space="preserve"> PAGEREF _Toc401667843 \h </w:instrText>
            </w:r>
            <w:r w:rsidR="00ED6A5C">
              <w:rPr>
                <w:noProof/>
                <w:webHidden/>
              </w:rPr>
            </w:r>
            <w:r w:rsidR="00ED6A5C">
              <w:rPr>
                <w:noProof/>
                <w:webHidden/>
              </w:rPr>
              <w:fldChar w:fldCharType="separate"/>
            </w:r>
            <w:r>
              <w:rPr>
                <w:noProof/>
                <w:webHidden/>
              </w:rPr>
              <w:t>8</w:t>
            </w:r>
            <w:r w:rsidR="00ED6A5C">
              <w:rPr>
                <w:noProof/>
                <w:webHidden/>
              </w:rPr>
              <w:fldChar w:fldCharType="end"/>
            </w:r>
          </w:hyperlink>
        </w:p>
        <w:p w14:paraId="36C678C4" w14:textId="77777777" w:rsidR="00ED6A5C" w:rsidRDefault="00302A02">
          <w:pPr>
            <w:pStyle w:val="TOC2"/>
            <w:rPr>
              <w:rFonts w:asciiTheme="minorHAnsi" w:hAnsiTheme="minorHAnsi" w:cstheme="minorBidi"/>
              <w:smallCaps w:val="0"/>
              <w:sz w:val="22"/>
              <w:szCs w:val="22"/>
            </w:rPr>
          </w:pPr>
          <w:hyperlink w:anchor="_Toc401667844" w:history="1">
            <w:r w:rsidR="00ED6A5C" w:rsidRPr="000C16F0">
              <w:rPr>
                <w:rStyle w:val="Hyperlink"/>
                <w:lang w:bidi="en-US"/>
              </w:rPr>
              <w:t>3.1</w:t>
            </w:r>
            <w:r w:rsidR="00ED6A5C">
              <w:rPr>
                <w:rFonts w:asciiTheme="minorHAnsi" w:hAnsiTheme="minorHAnsi" w:cstheme="minorBidi"/>
                <w:smallCaps w:val="0"/>
                <w:sz w:val="22"/>
                <w:szCs w:val="22"/>
              </w:rPr>
              <w:tab/>
            </w:r>
            <w:r w:rsidR="00ED6A5C" w:rsidRPr="000C16F0">
              <w:rPr>
                <w:rStyle w:val="Hyperlink"/>
                <w:lang w:bidi="en-US"/>
              </w:rPr>
              <w:t>Methodology for Estimating Savings</w:t>
            </w:r>
            <w:r w:rsidR="00ED6A5C">
              <w:rPr>
                <w:webHidden/>
              </w:rPr>
              <w:tab/>
            </w:r>
            <w:r w:rsidR="00ED6A5C">
              <w:rPr>
                <w:webHidden/>
              </w:rPr>
              <w:fldChar w:fldCharType="begin"/>
            </w:r>
            <w:r w:rsidR="00ED6A5C">
              <w:rPr>
                <w:webHidden/>
              </w:rPr>
              <w:instrText xml:space="preserve"> PAGEREF _Toc401667844 \h </w:instrText>
            </w:r>
            <w:r w:rsidR="00ED6A5C">
              <w:rPr>
                <w:webHidden/>
              </w:rPr>
            </w:r>
            <w:r w:rsidR="00ED6A5C">
              <w:rPr>
                <w:webHidden/>
              </w:rPr>
              <w:fldChar w:fldCharType="separate"/>
            </w:r>
            <w:r>
              <w:rPr>
                <w:webHidden/>
              </w:rPr>
              <w:t>9</w:t>
            </w:r>
            <w:r w:rsidR="00ED6A5C">
              <w:rPr>
                <w:webHidden/>
              </w:rPr>
              <w:fldChar w:fldCharType="end"/>
            </w:r>
          </w:hyperlink>
        </w:p>
        <w:p w14:paraId="7713DA8E" w14:textId="77777777" w:rsidR="00ED6A5C" w:rsidRDefault="00302A02">
          <w:pPr>
            <w:pStyle w:val="TOC2"/>
            <w:rPr>
              <w:rFonts w:asciiTheme="minorHAnsi" w:hAnsiTheme="minorHAnsi" w:cstheme="minorBidi"/>
              <w:smallCaps w:val="0"/>
              <w:sz w:val="22"/>
              <w:szCs w:val="22"/>
            </w:rPr>
          </w:pPr>
          <w:hyperlink w:anchor="_Toc401667845" w:history="1">
            <w:r w:rsidR="00ED6A5C" w:rsidRPr="000C16F0">
              <w:rPr>
                <w:rStyle w:val="Hyperlink"/>
                <w:lang w:bidi="en-US"/>
              </w:rPr>
              <w:t>3.2</w:t>
            </w:r>
            <w:r w:rsidR="00ED6A5C">
              <w:rPr>
                <w:rFonts w:asciiTheme="minorHAnsi" w:hAnsiTheme="minorHAnsi" w:cstheme="minorBidi"/>
                <w:smallCaps w:val="0"/>
                <w:sz w:val="22"/>
                <w:szCs w:val="22"/>
              </w:rPr>
              <w:tab/>
            </w:r>
            <w:r w:rsidR="00ED6A5C" w:rsidRPr="000C16F0">
              <w:rPr>
                <w:rStyle w:val="Hyperlink"/>
                <w:lang w:bidi="en-US"/>
              </w:rPr>
              <w:t>Televisions</w:t>
            </w:r>
            <w:r w:rsidR="00ED6A5C">
              <w:rPr>
                <w:webHidden/>
              </w:rPr>
              <w:tab/>
            </w:r>
            <w:r w:rsidR="00ED6A5C">
              <w:rPr>
                <w:webHidden/>
              </w:rPr>
              <w:fldChar w:fldCharType="begin"/>
            </w:r>
            <w:r w:rsidR="00ED6A5C">
              <w:rPr>
                <w:webHidden/>
              </w:rPr>
              <w:instrText xml:space="preserve"> PAGEREF _Toc401667845 \h </w:instrText>
            </w:r>
            <w:r w:rsidR="00ED6A5C">
              <w:rPr>
                <w:webHidden/>
              </w:rPr>
            </w:r>
            <w:r w:rsidR="00ED6A5C">
              <w:rPr>
                <w:webHidden/>
              </w:rPr>
              <w:fldChar w:fldCharType="separate"/>
            </w:r>
            <w:r>
              <w:rPr>
                <w:webHidden/>
              </w:rPr>
              <w:t>10</w:t>
            </w:r>
            <w:r w:rsidR="00ED6A5C">
              <w:rPr>
                <w:webHidden/>
              </w:rPr>
              <w:fldChar w:fldCharType="end"/>
            </w:r>
          </w:hyperlink>
        </w:p>
        <w:p w14:paraId="4FB4743E" w14:textId="77777777" w:rsidR="00ED6A5C" w:rsidRDefault="00302A02">
          <w:pPr>
            <w:pStyle w:val="TOC2"/>
            <w:rPr>
              <w:rFonts w:asciiTheme="minorHAnsi" w:hAnsiTheme="minorHAnsi" w:cstheme="minorBidi"/>
              <w:smallCaps w:val="0"/>
              <w:sz w:val="22"/>
              <w:szCs w:val="22"/>
            </w:rPr>
          </w:pPr>
          <w:hyperlink w:anchor="_Toc401667846" w:history="1">
            <w:r w:rsidR="00ED6A5C" w:rsidRPr="000C16F0">
              <w:rPr>
                <w:rStyle w:val="Hyperlink"/>
                <w:lang w:bidi="en-US"/>
              </w:rPr>
              <w:t>3.3</w:t>
            </w:r>
            <w:r w:rsidR="00ED6A5C">
              <w:rPr>
                <w:rFonts w:asciiTheme="minorHAnsi" w:hAnsiTheme="minorHAnsi" w:cstheme="minorBidi"/>
                <w:smallCaps w:val="0"/>
                <w:sz w:val="22"/>
                <w:szCs w:val="22"/>
              </w:rPr>
              <w:tab/>
            </w:r>
            <w:r w:rsidR="00ED6A5C" w:rsidRPr="000C16F0">
              <w:rPr>
                <w:rStyle w:val="Hyperlink"/>
                <w:lang w:bidi="en-US"/>
              </w:rPr>
              <w:t>Set-Top Boxes</w:t>
            </w:r>
            <w:r w:rsidR="00ED6A5C">
              <w:rPr>
                <w:webHidden/>
              </w:rPr>
              <w:tab/>
            </w:r>
            <w:r w:rsidR="00ED6A5C">
              <w:rPr>
                <w:webHidden/>
              </w:rPr>
              <w:fldChar w:fldCharType="begin"/>
            </w:r>
            <w:r w:rsidR="00ED6A5C">
              <w:rPr>
                <w:webHidden/>
              </w:rPr>
              <w:instrText xml:space="preserve"> PAGEREF _Toc401667846 \h </w:instrText>
            </w:r>
            <w:r w:rsidR="00ED6A5C">
              <w:rPr>
                <w:webHidden/>
              </w:rPr>
            </w:r>
            <w:r w:rsidR="00ED6A5C">
              <w:rPr>
                <w:webHidden/>
              </w:rPr>
              <w:fldChar w:fldCharType="separate"/>
            </w:r>
            <w:r>
              <w:rPr>
                <w:webHidden/>
              </w:rPr>
              <w:t>13</w:t>
            </w:r>
            <w:r w:rsidR="00ED6A5C">
              <w:rPr>
                <w:webHidden/>
              </w:rPr>
              <w:fldChar w:fldCharType="end"/>
            </w:r>
          </w:hyperlink>
        </w:p>
        <w:p w14:paraId="58DC55B3" w14:textId="77777777" w:rsidR="00ED6A5C" w:rsidRDefault="00302A02">
          <w:pPr>
            <w:pStyle w:val="TOC2"/>
            <w:rPr>
              <w:rFonts w:asciiTheme="minorHAnsi" w:hAnsiTheme="minorHAnsi" w:cstheme="minorBidi"/>
              <w:smallCaps w:val="0"/>
              <w:sz w:val="22"/>
              <w:szCs w:val="22"/>
            </w:rPr>
          </w:pPr>
          <w:hyperlink w:anchor="_Toc401667847" w:history="1">
            <w:r w:rsidR="00ED6A5C" w:rsidRPr="000C16F0">
              <w:rPr>
                <w:rStyle w:val="Hyperlink"/>
                <w:lang w:bidi="en-US"/>
              </w:rPr>
              <w:t>3.4</w:t>
            </w:r>
            <w:r w:rsidR="00ED6A5C">
              <w:rPr>
                <w:rFonts w:asciiTheme="minorHAnsi" w:hAnsiTheme="minorHAnsi" w:cstheme="minorBidi"/>
                <w:smallCaps w:val="0"/>
                <w:sz w:val="22"/>
                <w:szCs w:val="22"/>
              </w:rPr>
              <w:tab/>
            </w:r>
            <w:r w:rsidR="00ED6A5C" w:rsidRPr="000C16F0">
              <w:rPr>
                <w:rStyle w:val="Hyperlink"/>
                <w:lang w:bidi="en-US"/>
              </w:rPr>
              <w:t>Personal Computers</w:t>
            </w:r>
            <w:r w:rsidR="00ED6A5C">
              <w:rPr>
                <w:webHidden/>
              </w:rPr>
              <w:tab/>
            </w:r>
            <w:r w:rsidR="00ED6A5C">
              <w:rPr>
                <w:webHidden/>
              </w:rPr>
              <w:fldChar w:fldCharType="begin"/>
            </w:r>
            <w:r w:rsidR="00ED6A5C">
              <w:rPr>
                <w:webHidden/>
              </w:rPr>
              <w:instrText xml:space="preserve"> PAGEREF _Toc401667847 \h </w:instrText>
            </w:r>
            <w:r w:rsidR="00ED6A5C">
              <w:rPr>
                <w:webHidden/>
              </w:rPr>
            </w:r>
            <w:r w:rsidR="00ED6A5C">
              <w:rPr>
                <w:webHidden/>
              </w:rPr>
              <w:fldChar w:fldCharType="separate"/>
            </w:r>
            <w:r>
              <w:rPr>
                <w:webHidden/>
              </w:rPr>
              <w:t>15</w:t>
            </w:r>
            <w:r w:rsidR="00ED6A5C">
              <w:rPr>
                <w:webHidden/>
              </w:rPr>
              <w:fldChar w:fldCharType="end"/>
            </w:r>
          </w:hyperlink>
        </w:p>
        <w:p w14:paraId="17D09271" w14:textId="77777777" w:rsidR="00ED6A5C" w:rsidRDefault="00302A02">
          <w:pPr>
            <w:pStyle w:val="TOC2"/>
            <w:rPr>
              <w:rFonts w:asciiTheme="minorHAnsi" w:hAnsiTheme="minorHAnsi" w:cstheme="minorBidi"/>
              <w:smallCaps w:val="0"/>
              <w:sz w:val="22"/>
              <w:szCs w:val="22"/>
            </w:rPr>
          </w:pPr>
          <w:hyperlink w:anchor="_Toc401667848" w:history="1">
            <w:r w:rsidR="00ED6A5C" w:rsidRPr="000C16F0">
              <w:rPr>
                <w:rStyle w:val="Hyperlink"/>
                <w:lang w:bidi="en-US"/>
              </w:rPr>
              <w:t>3.5</w:t>
            </w:r>
            <w:r w:rsidR="00ED6A5C">
              <w:rPr>
                <w:rFonts w:asciiTheme="minorHAnsi" w:hAnsiTheme="minorHAnsi" w:cstheme="minorBidi"/>
                <w:smallCaps w:val="0"/>
                <w:sz w:val="22"/>
                <w:szCs w:val="22"/>
              </w:rPr>
              <w:tab/>
            </w:r>
            <w:r w:rsidR="00ED6A5C" w:rsidRPr="000C16F0">
              <w:rPr>
                <w:rStyle w:val="Hyperlink"/>
                <w:lang w:bidi="en-US"/>
              </w:rPr>
              <w:t>Network Equipment</w:t>
            </w:r>
            <w:r w:rsidR="00ED6A5C">
              <w:rPr>
                <w:webHidden/>
              </w:rPr>
              <w:tab/>
            </w:r>
            <w:r w:rsidR="00ED6A5C">
              <w:rPr>
                <w:webHidden/>
              </w:rPr>
              <w:fldChar w:fldCharType="begin"/>
            </w:r>
            <w:r w:rsidR="00ED6A5C">
              <w:rPr>
                <w:webHidden/>
              </w:rPr>
              <w:instrText xml:space="preserve"> PAGEREF _Toc401667848 \h </w:instrText>
            </w:r>
            <w:r w:rsidR="00ED6A5C">
              <w:rPr>
                <w:webHidden/>
              </w:rPr>
            </w:r>
            <w:r w:rsidR="00ED6A5C">
              <w:rPr>
                <w:webHidden/>
              </w:rPr>
              <w:fldChar w:fldCharType="separate"/>
            </w:r>
            <w:r>
              <w:rPr>
                <w:webHidden/>
              </w:rPr>
              <w:t>18</w:t>
            </w:r>
            <w:r w:rsidR="00ED6A5C">
              <w:rPr>
                <w:webHidden/>
              </w:rPr>
              <w:fldChar w:fldCharType="end"/>
            </w:r>
          </w:hyperlink>
        </w:p>
        <w:p w14:paraId="378EA76F" w14:textId="77777777" w:rsidR="00ED6A5C" w:rsidRDefault="00302A02">
          <w:pPr>
            <w:pStyle w:val="TOC2"/>
            <w:rPr>
              <w:rFonts w:asciiTheme="minorHAnsi" w:hAnsiTheme="minorHAnsi" w:cstheme="minorBidi"/>
              <w:smallCaps w:val="0"/>
              <w:sz w:val="22"/>
              <w:szCs w:val="22"/>
            </w:rPr>
          </w:pPr>
          <w:hyperlink w:anchor="_Toc401667849" w:history="1">
            <w:r w:rsidR="00ED6A5C" w:rsidRPr="000C16F0">
              <w:rPr>
                <w:rStyle w:val="Hyperlink"/>
                <w:lang w:bidi="en-US"/>
              </w:rPr>
              <w:t>3.6</w:t>
            </w:r>
            <w:r w:rsidR="00ED6A5C">
              <w:rPr>
                <w:rFonts w:asciiTheme="minorHAnsi" w:hAnsiTheme="minorHAnsi" w:cstheme="minorBidi"/>
                <w:smallCaps w:val="0"/>
                <w:sz w:val="22"/>
                <w:szCs w:val="22"/>
              </w:rPr>
              <w:tab/>
            </w:r>
            <w:r w:rsidR="00ED6A5C" w:rsidRPr="000C16F0">
              <w:rPr>
                <w:rStyle w:val="Hyperlink"/>
                <w:lang w:bidi="en-US"/>
              </w:rPr>
              <w:t>Game Consoles</w:t>
            </w:r>
            <w:r w:rsidR="00ED6A5C">
              <w:rPr>
                <w:webHidden/>
              </w:rPr>
              <w:tab/>
            </w:r>
            <w:r w:rsidR="00ED6A5C">
              <w:rPr>
                <w:webHidden/>
              </w:rPr>
              <w:fldChar w:fldCharType="begin"/>
            </w:r>
            <w:r w:rsidR="00ED6A5C">
              <w:rPr>
                <w:webHidden/>
              </w:rPr>
              <w:instrText xml:space="preserve"> PAGEREF _Toc401667849 \h </w:instrText>
            </w:r>
            <w:r w:rsidR="00ED6A5C">
              <w:rPr>
                <w:webHidden/>
              </w:rPr>
            </w:r>
            <w:r w:rsidR="00ED6A5C">
              <w:rPr>
                <w:webHidden/>
              </w:rPr>
              <w:fldChar w:fldCharType="separate"/>
            </w:r>
            <w:r>
              <w:rPr>
                <w:webHidden/>
              </w:rPr>
              <w:t>20</w:t>
            </w:r>
            <w:r w:rsidR="00ED6A5C">
              <w:rPr>
                <w:webHidden/>
              </w:rPr>
              <w:fldChar w:fldCharType="end"/>
            </w:r>
          </w:hyperlink>
        </w:p>
        <w:p w14:paraId="76BA1182" w14:textId="77777777" w:rsidR="00ED6A5C" w:rsidRDefault="00302A02">
          <w:pPr>
            <w:pStyle w:val="TOC2"/>
            <w:rPr>
              <w:rFonts w:asciiTheme="minorHAnsi" w:hAnsiTheme="minorHAnsi" w:cstheme="minorBidi"/>
              <w:smallCaps w:val="0"/>
              <w:sz w:val="22"/>
              <w:szCs w:val="22"/>
            </w:rPr>
          </w:pPr>
          <w:hyperlink w:anchor="_Toc401667850" w:history="1">
            <w:r w:rsidR="00ED6A5C" w:rsidRPr="000C16F0">
              <w:rPr>
                <w:rStyle w:val="Hyperlink"/>
                <w:lang w:bidi="en-US"/>
              </w:rPr>
              <w:t>3.7</w:t>
            </w:r>
            <w:r w:rsidR="00ED6A5C">
              <w:rPr>
                <w:rFonts w:asciiTheme="minorHAnsi" w:hAnsiTheme="minorHAnsi" w:cstheme="minorBidi"/>
                <w:smallCaps w:val="0"/>
                <w:sz w:val="22"/>
                <w:szCs w:val="22"/>
              </w:rPr>
              <w:tab/>
            </w:r>
            <w:r w:rsidR="00ED6A5C" w:rsidRPr="000C16F0">
              <w:rPr>
                <w:rStyle w:val="Hyperlink"/>
                <w:lang w:bidi="en-US"/>
              </w:rPr>
              <w:t>Smart Strips</w:t>
            </w:r>
            <w:r w:rsidR="00ED6A5C">
              <w:rPr>
                <w:webHidden/>
              </w:rPr>
              <w:tab/>
            </w:r>
            <w:r w:rsidR="00ED6A5C">
              <w:rPr>
                <w:webHidden/>
              </w:rPr>
              <w:fldChar w:fldCharType="begin"/>
            </w:r>
            <w:r w:rsidR="00ED6A5C">
              <w:rPr>
                <w:webHidden/>
              </w:rPr>
              <w:instrText xml:space="preserve"> PAGEREF _Toc401667850 \h </w:instrText>
            </w:r>
            <w:r w:rsidR="00ED6A5C">
              <w:rPr>
                <w:webHidden/>
              </w:rPr>
            </w:r>
            <w:r w:rsidR="00ED6A5C">
              <w:rPr>
                <w:webHidden/>
              </w:rPr>
              <w:fldChar w:fldCharType="separate"/>
            </w:r>
            <w:r>
              <w:rPr>
                <w:webHidden/>
              </w:rPr>
              <w:t>23</w:t>
            </w:r>
            <w:r w:rsidR="00ED6A5C">
              <w:rPr>
                <w:webHidden/>
              </w:rPr>
              <w:fldChar w:fldCharType="end"/>
            </w:r>
          </w:hyperlink>
        </w:p>
        <w:p w14:paraId="5B3E8D4E" w14:textId="77777777" w:rsidR="00ED6A5C" w:rsidRDefault="00302A02">
          <w:pPr>
            <w:pStyle w:val="TOC1"/>
            <w:rPr>
              <w:rFonts w:asciiTheme="minorHAnsi" w:hAnsiTheme="minorHAnsi"/>
              <w:b w:val="0"/>
              <w:smallCaps w:val="0"/>
              <w:noProof/>
              <w:sz w:val="22"/>
            </w:rPr>
          </w:pPr>
          <w:hyperlink w:anchor="_Toc401667851" w:history="1">
            <w:r w:rsidR="00ED6A5C" w:rsidRPr="000C16F0">
              <w:rPr>
                <w:rStyle w:val="Hyperlink"/>
                <w:rFonts w:cs="Arial"/>
                <w:noProof/>
                <w:lang w:bidi="en-US"/>
              </w:rPr>
              <w:t>4</w:t>
            </w:r>
            <w:r w:rsidR="00ED6A5C">
              <w:rPr>
                <w:rFonts w:asciiTheme="minorHAnsi" w:hAnsiTheme="minorHAnsi"/>
                <w:b w:val="0"/>
                <w:smallCaps w:val="0"/>
                <w:noProof/>
                <w:sz w:val="22"/>
              </w:rPr>
              <w:tab/>
            </w:r>
            <w:r w:rsidR="00ED6A5C" w:rsidRPr="000C16F0">
              <w:rPr>
                <w:rStyle w:val="Hyperlink"/>
                <w:noProof/>
                <w:lang w:bidi="en-US"/>
              </w:rPr>
              <w:t>Market Considerations</w:t>
            </w:r>
            <w:r w:rsidR="00ED6A5C">
              <w:rPr>
                <w:noProof/>
                <w:webHidden/>
              </w:rPr>
              <w:tab/>
            </w:r>
            <w:r w:rsidR="00ED6A5C">
              <w:rPr>
                <w:noProof/>
                <w:webHidden/>
              </w:rPr>
              <w:fldChar w:fldCharType="begin"/>
            </w:r>
            <w:r w:rsidR="00ED6A5C">
              <w:rPr>
                <w:noProof/>
                <w:webHidden/>
              </w:rPr>
              <w:instrText xml:space="preserve"> PAGEREF _Toc401667851 \h </w:instrText>
            </w:r>
            <w:r w:rsidR="00ED6A5C">
              <w:rPr>
                <w:noProof/>
                <w:webHidden/>
              </w:rPr>
            </w:r>
            <w:r w:rsidR="00ED6A5C">
              <w:rPr>
                <w:noProof/>
                <w:webHidden/>
              </w:rPr>
              <w:fldChar w:fldCharType="separate"/>
            </w:r>
            <w:r>
              <w:rPr>
                <w:noProof/>
                <w:webHidden/>
              </w:rPr>
              <w:t>24</w:t>
            </w:r>
            <w:r w:rsidR="00ED6A5C">
              <w:rPr>
                <w:noProof/>
                <w:webHidden/>
              </w:rPr>
              <w:fldChar w:fldCharType="end"/>
            </w:r>
          </w:hyperlink>
        </w:p>
        <w:p w14:paraId="09BFC487" w14:textId="77777777" w:rsidR="00ED6A5C" w:rsidRDefault="00302A02">
          <w:pPr>
            <w:pStyle w:val="TOC2"/>
            <w:rPr>
              <w:rFonts w:asciiTheme="minorHAnsi" w:hAnsiTheme="minorHAnsi" w:cstheme="minorBidi"/>
              <w:smallCaps w:val="0"/>
              <w:sz w:val="22"/>
              <w:szCs w:val="22"/>
            </w:rPr>
          </w:pPr>
          <w:hyperlink w:anchor="_Toc401667852" w:history="1">
            <w:r w:rsidR="00ED6A5C" w:rsidRPr="000C16F0">
              <w:rPr>
                <w:rStyle w:val="Hyperlink"/>
                <w:lang w:bidi="en-US"/>
              </w:rPr>
              <w:t>4.1</w:t>
            </w:r>
            <w:r w:rsidR="00ED6A5C">
              <w:rPr>
                <w:rFonts w:asciiTheme="minorHAnsi" w:hAnsiTheme="minorHAnsi" w:cstheme="minorBidi"/>
                <w:smallCaps w:val="0"/>
                <w:sz w:val="22"/>
                <w:szCs w:val="22"/>
              </w:rPr>
              <w:tab/>
            </w:r>
            <w:r w:rsidR="00ED6A5C" w:rsidRPr="000C16F0">
              <w:rPr>
                <w:rStyle w:val="Hyperlink"/>
                <w:lang w:bidi="en-US"/>
              </w:rPr>
              <w:t>ENERGY STAR Market Penetration</w:t>
            </w:r>
            <w:r w:rsidR="00ED6A5C">
              <w:rPr>
                <w:webHidden/>
              </w:rPr>
              <w:tab/>
            </w:r>
            <w:r w:rsidR="00ED6A5C">
              <w:rPr>
                <w:webHidden/>
              </w:rPr>
              <w:fldChar w:fldCharType="begin"/>
            </w:r>
            <w:r w:rsidR="00ED6A5C">
              <w:rPr>
                <w:webHidden/>
              </w:rPr>
              <w:instrText xml:space="preserve"> PAGEREF _Toc401667852 \h </w:instrText>
            </w:r>
            <w:r w:rsidR="00ED6A5C">
              <w:rPr>
                <w:webHidden/>
              </w:rPr>
            </w:r>
            <w:r w:rsidR="00ED6A5C">
              <w:rPr>
                <w:webHidden/>
              </w:rPr>
              <w:fldChar w:fldCharType="separate"/>
            </w:r>
            <w:r>
              <w:rPr>
                <w:webHidden/>
              </w:rPr>
              <w:t>24</w:t>
            </w:r>
            <w:r w:rsidR="00ED6A5C">
              <w:rPr>
                <w:webHidden/>
              </w:rPr>
              <w:fldChar w:fldCharType="end"/>
            </w:r>
          </w:hyperlink>
        </w:p>
        <w:p w14:paraId="1CE324B2" w14:textId="77777777" w:rsidR="00ED6A5C" w:rsidRDefault="00302A02">
          <w:pPr>
            <w:pStyle w:val="TOC2"/>
            <w:rPr>
              <w:rFonts w:asciiTheme="minorHAnsi" w:hAnsiTheme="minorHAnsi" w:cstheme="minorBidi"/>
              <w:smallCaps w:val="0"/>
              <w:sz w:val="22"/>
              <w:szCs w:val="22"/>
            </w:rPr>
          </w:pPr>
          <w:hyperlink w:anchor="_Toc401667853" w:history="1">
            <w:r w:rsidR="00ED6A5C" w:rsidRPr="000C16F0">
              <w:rPr>
                <w:rStyle w:val="Hyperlink"/>
                <w:lang w:bidi="en-US"/>
              </w:rPr>
              <w:t>4.2</w:t>
            </w:r>
            <w:r w:rsidR="00ED6A5C">
              <w:rPr>
                <w:rFonts w:asciiTheme="minorHAnsi" w:hAnsiTheme="minorHAnsi" w:cstheme="minorBidi"/>
                <w:smallCaps w:val="0"/>
                <w:sz w:val="22"/>
                <w:szCs w:val="22"/>
              </w:rPr>
              <w:tab/>
            </w:r>
            <w:r w:rsidR="00ED6A5C" w:rsidRPr="000C16F0">
              <w:rPr>
                <w:rStyle w:val="Hyperlink"/>
                <w:lang w:bidi="en-US"/>
              </w:rPr>
              <w:t>Product-Specific Considerations</w:t>
            </w:r>
            <w:r w:rsidR="00ED6A5C">
              <w:rPr>
                <w:webHidden/>
              </w:rPr>
              <w:tab/>
            </w:r>
            <w:r w:rsidR="00ED6A5C">
              <w:rPr>
                <w:webHidden/>
              </w:rPr>
              <w:fldChar w:fldCharType="begin"/>
            </w:r>
            <w:r w:rsidR="00ED6A5C">
              <w:rPr>
                <w:webHidden/>
              </w:rPr>
              <w:instrText xml:space="preserve"> PAGEREF _Toc401667853 \h </w:instrText>
            </w:r>
            <w:r w:rsidR="00ED6A5C">
              <w:rPr>
                <w:webHidden/>
              </w:rPr>
            </w:r>
            <w:r w:rsidR="00ED6A5C">
              <w:rPr>
                <w:webHidden/>
              </w:rPr>
              <w:fldChar w:fldCharType="separate"/>
            </w:r>
            <w:r>
              <w:rPr>
                <w:webHidden/>
              </w:rPr>
              <w:t>25</w:t>
            </w:r>
            <w:r w:rsidR="00ED6A5C">
              <w:rPr>
                <w:webHidden/>
              </w:rPr>
              <w:fldChar w:fldCharType="end"/>
            </w:r>
          </w:hyperlink>
        </w:p>
        <w:p w14:paraId="5103763D" w14:textId="77777777" w:rsidR="00ED6A5C" w:rsidRDefault="00302A02">
          <w:pPr>
            <w:pStyle w:val="TOC2"/>
            <w:rPr>
              <w:rFonts w:asciiTheme="minorHAnsi" w:hAnsiTheme="minorHAnsi" w:cstheme="minorBidi"/>
              <w:smallCaps w:val="0"/>
              <w:sz w:val="22"/>
              <w:szCs w:val="22"/>
            </w:rPr>
          </w:pPr>
          <w:hyperlink w:anchor="_Toc401667854" w:history="1">
            <w:r w:rsidR="00ED6A5C" w:rsidRPr="000C16F0">
              <w:rPr>
                <w:rStyle w:val="Hyperlink"/>
                <w:lang w:bidi="en-US"/>
              </w:rPr>
              <w:t>4.3</w:t>
            </w:r>
            <w:r w:rsidR="00ED6A5C">
              <w:rPr>
                <w:rFonts w:asciiTheme="minorHAnsi" w:hAnsiTheme="minorHAnsi" w:cstheme="minorBidi"/>
                <w:smallCaps w:val="0"/>
                <w:sz w:val="22"/>
                <w:szCs w:val="22"/>
              </w:rPr>
              <w:tab/>
            </w:r>
            <w:r w:rsidR="00ED6A5C" w:rsidRPr="000C16F0">
              <w:rPr>
                <w:rStyle w:val="Hyperlink"/>
                <w:lang w:bidi="en-US"/>
              </w:rPr>
              <w:t>Estimated Technical Energy Savings Potential</w:t>
            </w:r>
            <w:r w:rsidR="00ED6A5C">
              <w:rPr>
                <w:webHidden/>
              </w:rPr>
              <w:tab/>
            </w:r>
            <w:r w:rsidR="00ED6A5C">
              <w:rPr>
                <w:webHidden/>
              </w:rPr>
              <w:fldChar w:fldCharType="begin"/>
            </w:r>
            <w:r w:rsidR="00ED6A5C">
              <w:rPr>
                <w:webHidden/>
              </w:rPr>
              <w:instrText xml:space="preserve"> PAGEREF _Toc401667854 \h </w:instrText>
            </w:r>
            <w:r w:rsidR="00ED6A5C">
              <w:rPr>
                <w:webHidden/>
              </w:rPr>
            </w:r>
            <w:r w:rsidR="00ED6A5C">
              <w:rPr>
                <w:webHidden/>
              </w:rPr>
              <w:fldChar w:fldCharType="separate"/>
            </w:r>
            <w:r>
              <w:rPr>
                <w:webHidden/>
              </w:rPr>
              <w:t>27</w:t>
            </w:r>
            <w:r w:rsidR="00ED6A5C">
              <w:rPr>
                <w:webHidden/>
              </w:rPr>
              <w:fldChar w:fldCharType="end"/>
            </w:r>
          </w:hyperlink>
        </w:p>
        <w:p w14:paraId="0CDBD722" w14:textId="77777777" w:rsidR="00ED6A5C" w:rsidRDefault="00302A02">
          <w:pPr>
            <w:pStyle w:val="TOC1"/>
            <w:rPr>
              <w:rFonts w:asciiTheme="minorHAnsi" w:hAnsiTheme="minorHAnsi"/>
              <w:b w:val="0"/>
              <w:smallCaps w:val="0"/>
              <w:noProof/>
              <w:sz w:val="22"/>
            </w:rPr>
          </w:pPr>
          <w:hyperlink w:anchor="_Toc401667855" w:history="1">
            <w:r w:rsidR="00ED6A5C" w:rsidRPr="000C16F0">
              <w:rPr>
                <w:rStyle w:val="Hyperlink"/>
                <w:rFonts w:cs="Arial"/>
                <w:noProof/>
                <w:lang w:bidi="en-US"/>
              </w:rPr>
              <w:t>5</w:t>
            </w:r>
            <w:r w:rsidR="00ED6A5C">
              <w:rPr>
                <w:rFonts w:asciiTheme="minorHAnsi" w:hAnsiTheme="minorHAnsi"/>
                <w:b w:val="0"/>
                <w:smallCaps w:val="0"/>
                <w:noProof/>
                <w:sz w:val="22"/>
              </w:rPr>
              <w:tab/>
            </w:r>
            <w:r w:rsidR="00ED6A5C" w:rsidRPr="000C16F0">
              <w:rPr>
                <w:rStyle w:val="Hyperlink"/>
                <w:noProof/>
                <w:lang w:bidi="en-US"/>
              </w:rPr>
              <w:t>Conclusions and Recommendations</w:t>
            </w:r>
            <w:r w:rsidR="00ED6A5C">
              <w:rPr>
                <w:noProof/>
                <w:webHidden/>
              </w:rPr>
              <w:tab/>
            </w:r>
            <w:r w:rsidR="00ED6A5C">
              <w:rPr>
                <w:noProof/>
                <w:webHidden/>
              </w:rPr>
              <w:fldChar w:fldCharType="begin"/>
            </w:r>
            <w:r w:rsidR="00ED6A5C">
              <w:rPr>
                <w:noProof/>
                <w:webHidden/>
              </w:rPr>
              <w:instrText xml:space="preserve"> PAGEREF _Toc401667855 \h </w:instrText>
            </w:r>
            <w:r w:rsidR="00ED6A5C">
              <w:rPr>
                <w:noProof/>
                <w:webHidden/>
              </w:rPr>
            </w:r>
            <w:r w:rsidR="00ED6A5C">
              <w:rPr>
                <w:noProof/>
                <w:webHidden/>
              </w:rPr>
              <w:fldChar w:fldCharType="separate"/>
            </w:r>
            <w:r>
              <w:rPr>
                <w:noProof/>
                <w:webHidden/>
              </w:rPr>
              <w:t>29</w:t>
            </w:r>
            <w:r w:rsidR="00ED6A5C">
              <w:rPr>
                <w:noProof/>
                <w:webHidden/>
              </w:rPr>
              <w:fldChar w:fldCharType="end"/>
            </w:r>
          </w:hyperlink>
        </w:p>
        <w:p w14:paraId="68D8E613" w14:textId="77777777" w:rsidR="00ED6A5C" w:rsidRDefault="00302A02">
          <w:pPr>
            <w:pStyle w:val="TOC2"/>
            <w:rPr>
              <w:rFonts w:asciiTheme="minorHAnsi" w:hAnsiTheme="minorHAnsi" w:cstheme="minorBidi"/>
              <w:smallCaps w:val="0"/>
              <w:sz w:val="22"/>
              <w:szCs w:val="22"/>
            </w:rPr>
          </w:pPr>
          <w:hyperlink w:anchor="_Toc401667856" w:history="1">
            <w:r w:rsidR="00ED6A5C" w:rsidRPr="000C16F0">
              <w:rPr>
                <w:rStyle w:val="Hyperlink"/>
                <w:lang w:bidi="en-US"/>
              </w:rPr>
              <w:t>5.1</w:t>
            </w:r>
            <w:r w:rsidR="00ED6A5C">
              <w:rPr>
                <w:rFonts w:asciiTheme="minorHAnsi" w:hAnsiTheme="minorHAnsi" w:cstheme="minorBidi"/>
                <w:smallCaps w:val="0"/>
                <w:sz w:val="22"/>
                <w:szCs w:val="22"/>
              </w:rPr>
              <w:tab/>
            </w:r>
            <w:r w:rsidR="00ED6A5C" w:rsidRPr="000C16F0">
              <w:rPr>
                <w:rStyle w:val="Hyperlink"/>
                <w:lang w:bidi="en-US"/>
              </w:rPr>
              <w:t>Overall Findings</w:t>
            </w:r>
            <w:r w:rsidR="00ED6A5C">
              <w:rPr>
                <w:webHidden/>
              </w:rPr>
              <w:tab/>
            </w:r>
            <w:r w:rsidR="00ED6A5C">
              <w:rPr>
                <w:webHidden/>
              </w:rPr>
              <w:fldChar w:fldCharType="begin"/>
            </w:r>
            <w:r w:rsidR="00ED6A5C">
              <w:rPr>
                <w:webHidden/>
              </w:rPr>
              <w:instrText xml:space="preserve"> PAGEREF _Toc401667856 \h </w:instrText>
            </w:r>
            <w:r w:rsidR="00ED6A5C">
              <w:rPr>
                <w:webHidden/>
              </w:rPr>
            </w:r>
            <w:r w:rsidR="00ED6A5C">
              <w:rPr>
                <w:webHidden/>
              </w:rPr>
              <w:fldChar w:fldCharType="separate"/>
            </w:r>
            <w:r>
              <w:rPr>
                <w:webHidden/>
              </w:rPr>
              <w:t>29</w:t>
            </w:r>
            <w:r w:rsidR="00ED6A5C">
              <w:rPr>
                <w:webHidden/>
              </w:rPr>
              <w:fldChar w:fldCharType="end"/>
            </w:r>
          </w:hyperlink>
        </w:p>
        <w:p w14:paraId="63FF65FB" w14:textId="77777777" w:rsidR="00ED6A5C" w:rsidRDefault="00302A02">
          <w:pPr>
            <w:pStyle w:val="TOC2"/>
            <w:rPr>
              <w:rFonts w:asciiTheme="minorHAnsi" w:hAnsiTheme="minorHAnsi" w:cstheme="minorBidi"/>
              <w:smallCaps w:val="0"/>
              <w:sz w:val="22"/>
              <w:szCs w:val="22"/>
            </w:rPr>
          </w:pPr>
          <w:hyperlink w:anchor="_Toc401667857" w:history="1">
            <w:r w:rsidR="00ED6A5C" w:rsidRPr="000C16F0">
              <w:rPr>
                <w:rStyle w:val="Hyperlink"/>
                <w:lang w:bidi="en-US"/>
              </w:rPr>
              <w:t>5.2</w:t>
            </w:r>
            <w:r w:rsidR="00ED6A5C">
              <w:rPr>
                <w:rFonts w:asciiTheme="minorHAnsi" w:hAnsiTheme="minorHAnsi" w:cstheme="minorBidi"/>
                <w:smallCaps w:val="0"/>
                <w:sz w:val="22"/>
                <w:szCs w:val="22"/>
              </w:rPr>
              <w:tab/>
            </w:r>
            <w:r w:rsidR="00ED6A5C" w:rsidRPr="000C16F0">
              <w:rPr>
                <w:rStyle w:val="Hyperlink"/>
                <w:lang w:bidi="en-US"/>
              </w:rPr>
              <w:t>Televisions</w:t>
            </w:r>
            <w:r w:rsidR="00ED6A5C">
              <w:rPr>
                <w:webHidden/>
              </w:rPr>
              <w:tab/>
            </w:r>
            <w:r w:rsidR="00ED6A5C">
              <w:rPr>
                <w:webHidden/>
              </w:rPr>
              <w:fldChar w:fldCharType="begin"/>
            </w:r>
            <w:r w:rsidR="00ED6A5C">
              <w:rPr>
                <w:webHidden/>
              </w:rPr>
              <w:instrText xml:space="preserve"> PAGEREF _Toc401667857 \h </w:instrText>
            </w:r>
            <w:r w:rsidR="00ED6A5C">
              <w:rPr>
                <w:webHidden/>
              </w:rPr>
            </w:r>
            <w:r w:rsidR="00ED6A5C">
              <w:rPr>
                <w:webHidden/>
              </w:rPr>
              <w:fldChar w:fldCharType="separate"/>
            </w:r>
            <w:r>
              <w:rPr>
                <w:webHidden/>
              </w:rPr>
              <w:t>30</w:t>
            </w:r>
            <w:r w:rsidR="00ED6A5C">
              <w:rPr>
                <w:webHidden/>
              </w:rPr>
              <w:fldChar w:fldCharType="end"/>
            </w:r>
          </w:hyperlink>
        </w:p>
        <w:p w14:paraId="57F82A6B" w14:textId="77777777" w:rsidR="00ED6A5C" w:rsidRDefault="00302A02">
          <w:pPr>
            <w:pStyle w:val="TOC2"/>
            <w:rPr>
              <w:rFonts w:asciiTheme="minorHAnsi" w:hAnsiTheme="minorHAnsi" w:cstheme="minorBidi"/>
              <w:smallCaps w:val="0"/>
              <w:sz w:val="22"/>
              <w:szCs w:val="22"/>
            </w:rPr>
          </w:pPr>
          <w:hyperlink w:anchor="_Toc401667858" w:history="1">
            <w:r w:rsidR="00ED6A5C" w:rsidRPr="000C16F0">
              <w:rPr>
                <w:rStyle w:val="Hyperlink"/>
                <w:lang w:bidi="en-US"/>
              </w:rPr>
              <w:t>5.3</w:t>
            </w:r>
            <w:r w:rsidR="00ED6A5C">
              <w:rPr>
                <w:rFonts w:asciiTheme="minorHAnsi" w:hAnsiTheme="minorHAnsi" w:cstheme="minorBidi"/>
                <w:smallCaps w:val="0"/>
                <w:sz w:val="22"/>
                <w:szCs w:val="22"/>
              </w:rPr>
              <w:tab/>
            </w:r>
            <w:r w:rsidR="00ED6A5C" w:rsidRPr="000C16F0">
              <w:rPr>
                <w:rStyle w:val="Hyperlink"/>
                <w:lang w:bidi="en-US"/>
              </w:rPr>
              <w:t>Set-top Boxes</w:t>
            </w:r>
            <w:r w:rsidR="00ED6A5C">
              <w:rPr>
                <w:webHidden/>
              </w:rPr>
              <w:tab/>
            </w:r>
            <w:r w:rsidR="00ED6A5C">
              <w:rPr>
                <w:webHidden/>
              </w:rPr>
              <w:fldChar w:fldCharType="begin"/>
            </w:r>
            <w:r w:rsidR="00ED6A5C">
              <w:rPr>
                <w:webHidden/>
              </w:rPr>
              <w:instrText xml:space="preserve"> PAGEREF _Toc401667858 \h </w:instrText>
            </w:r>
            <w:r w:rsidR="00ED6A5C">
              <w:rPr>
                <w:webHidden/>
              </w:rPr>
            </w:r>
            <w:r w:rsidR="00ED6A5C">
              <w:rPr>
                <w:webHidden/>
              </w:rPr>
              <w:fldChar w:fldCharType="separate"/>
            </w:r>
            <w:r>
              <w:rPr>
                <w:webHidden/>
              </w:rPr>
              <w:t>31</w:t>
            </w:r>
            <w:r w:rsidR="00ED6A5C">
              <w:rPr>
                <w:webHidden/>
              </w:rPr>
              <w:fldChar w:fldCharType="end"/>
            </w:r>
          </w:hyperlink>
        </w:p>
        <w:p w14:paraId="66803BB6" w14:textId="77777777" w:rsidR="00ED6A5C" w:rsidRDefault="00302A02">
          <w:pPr>
            <w:pStyle w:val="TOC2"/>
            <w:rPr>
              <w:rFonts w:asciiTheme="minorHAnsi" w:hAnsiTheme="minorHAnsi" w:cstheme="minorBidi"/>
              <w:smallCaps w:val="0"/>
              <w:sz w:val="22"/>
              <w:szCs w:val="22"/>
            </w:rPr>
          </w:pPr>
          <w:hyperlink w:anchor="_Toc401667859" w:history="1">
            <w:r w:rsidR="00ED6A5C" w:rsidRPr="000C16F0">
              <w:rPr>
                <w:rStyle w:val="Hyperlink"/>
                <w:lang w:bidi="en-US"/>
              </w:rPr>
              <w:t>5.4</w:t>
            </w:r>
            <w:r w:rsidR="00ED6A5C">
              <w:rPr>
                <w:rFonts w:asciiTheme="minorHAnsi" w:hAnsiTheme="minorHAnsi" w:cstheme="minorBidi"/>
                <w:smallCaps w:val="0"/>
                <w:sz w:val="22"/>
                <w:szCs w:val="22"/>
              </w:rPr>
              <w:tab/>
            </w:r>
            <w:r w:rsidR="00ED6A5C" w:rsidRPr="000C16F0">
              <w:rPr>
                <w:rStyle w:val="Hyperlink"/>
                <w:lang w:bidi="en-US"/>
              </w:rPr>
              <w:t>Personal Computers</w:t>
            </w:r>
            <w:r w:rsidR="00ED6A5C">
              <w:rPr>
                <w:webHidden/>
              </w:rPr>
              <w:tab/>
            </w:r>
            <w:r w:rsidR="00ED6A5C">
              <w:rPr>
                <w:webHidden/>
              </w:rPr>
              <w:fldChar w:fldCharType="begin"/>
            </w:r>
            <w:r w:rsidR="00ED6A5C">
              <w:rPr>
                <w:webHidden/>
              </w:rPr>
              <w:instrText xml:space="preserve"> PAGEREF _Toc401667859 \h </w:instrText>
            </w:r>
            <w:r w:rsidR="00ED6A5C">
              <w:rPr>
                <w:webHidden/>
              </w:rPr>
            </w:r>
            <w:r w:rsidR="00ED6A5C">
              <w:rPr>
                <w:webHidden/>
              </w:rPr>
              <w:fldChar w:fldCharType="separate"/>
            </w:r>
            <w:r>
              <w:rPr>
                <w:webHidden/>
              </w:rPr>
              <w:t>32</w:t>
            </w:r>
            <w:r w:rsidR="00ED6A5C">
              <w:rPr>
                <w:webHidden/>
              </w:rPr>
              <w:fldChar w:fldCharType="end"/>
            </w:r>
          </w:hyperlink>
        </w:p>
        <w:p w14:paraId="607FA416" w14:textId="77777777" w:rsidR="00ED6A5C" w:rsidRDefault="00302A02">
          <w:pPr>
            <w:pStyle w:val="TOC2"/>
            <w:rPr>
              <w:rFonts w:asciiTheme="minorHAnsi" w:hAnsiTheme="minorHAnsi" w:cstheme="minorBidi"/>
              <w:smallCaps w:val="0"/>
              <w:sz w:val="22"/>
              <w:szCs w:val="22"/>
            </w:rPr>
          </w:pPr>
          <w:hyperlink w:anchor="_Toc401667860" w:history="1">
            <w:r w:rsidR="00ED6A5C" w:rsidRPr="000C16F0">
              <w:rPr>
                <w:rStyle w:val="Hyperlink"/>
                <w:lang w:bidi="en-US"/>
              </w:rPr>
              <w:t>5.5</w:t>
            </w:r>
            <w:r w:rsidR="00ED6A5C">
              <w:rPr>
                <w:rFonts w:asciiTheme="minorHAnsi" w:hAnsiTheme="minorHAnsi" w:cstheme="minorBidi"/>
                <w:smallCaps w:val="0"/>
                <w:sz w:val="22"/>
                <w:szCs w:val="22"/>
              </w:rPr>
              <w:tab/>
            </w:r>
            <w:r w:rsidR="00ED6A5C" w:rsidRPr="000C16F0">
              <w:rPr>
                <w:rStyle w:val="Hyperlink"/>
                <w:lang w:bidi="en-US"/>
              </w:rPr>
              <w:t>Network Equipment</w:t>
            </w:r>
            <w:r w:rsidR="00ED6A5C">
              <w:rPr>
                <w:webHidden/>
              </w:rPr>
              <w:tab/>
            </w:r>
            <w:r w:rsidR="00ED6A5C">
              <w:rPr>
                <w:webHidden/>
              </w:rPr>
              <w:fldChar w:fldCharType="begin"/>
            </w:r>
            <w:r w:rsidR="00ED6A5C">
              <w:rPr>
                <w:webHidden/>
              </w:rPr>
              <w:instrText xml:space="preserve"> PAGEREF _Toc401667860 \h </w:instrText>
            </w:r>
            <w:r w:rsidR="00ED6A5C">
              <w:rPr>
                <w:webHidden/>
              </w:rPr>
            </w:r>
            <w:r w:rsidR="00ED6A5C">
              <w:rPr>
                <w:webHidden/>
              </w:rPr>
              <w:fldChar w:fldCharType="separate"/>
            </w:r>
            <w:r>
              <w:rPr>
                <w:webHidden/>
              </w:rPr>
              <w:t>33</w:t>
            </w:r>
            <w:r w:rsidR="00ED6A5C">
              <w:rPr>
                <w:webHidden/>
              </w:rPr>
              <w:fldChar w:fldCharType="end"/>
            </w:r>
          </w:hyperlink>
        </w:p>
        <w:p w14:paraId="1BC6BA35" w14:textId="77777777" w:rsidR="00ED6A5C" w:rsidRDefault="00302A02">
          <w:pPr>
            <w:pStyle w:val="TOC2"/>
            <w:rPr>
              <w:rFonts w:asciiTheme="minorHAnsi" w:hAnsiTheme="minorHAnsi" w:cstheme="minorBidi"/>
              <w:smallCaps w:val="0"/>
              <w:sz w:val="22"/>
              <w:szCs w:val="22"/>
            </w:rPr>
          </w:pPr>
          <w:hyperlink w:anchor="_Toc401667861" w:history="1">
            <w:r w:rsidR="00ED6A5C" w:rsidRPr="000C16F0">
              <w:rPr>
                <w:rStyle w:val="Hyperlink"/>
                <w:lang w:bidi="en-US"/>
              </w:rPr>
              <w:t>5.6</w:t>
            </w:r>
            <w:r w:rsidR="00ED6A5C">
              <w:rPr>
                <w:rFonts w:asciiTheme="minorHAnsi" w:hAnsiTheme="minorHAnsi" w:cstheme="minorBidi"/>
                <w:smallCaps w:val="0"/>
                <w:sz w:val="22"/>
                <w:szCs w:val="22"/>
              </w:rPr>
              <w:tab/>
            </w:r>
            <w:r w:rsidR="00ED6A5C" w:rsidRPr="000C16F0">
              <w:rPr>
                <w:rStyle w:val="Hyperlink"/>
                <w:lang w:bidi="en-US"/>
              </w:rPr>
              <w:t>Game Consoles</w:t>
            </w:r>
            <w:r w:rsidR="00ED6A5C">
              <w:rPr>
                <w:webHidden/>
              </w:rPr>
              <w:tab/>
            </w:r>
            <w:r w:rsidR="00ED6A5C">
              <w:rPr>
                <w:webHidden/>
              </w:rPr>
              <w:fldChar w:fldCharType="begin"/>
            </w:r>
            <w:r w:rsidR="00ED6A5C">
              <w:rPr>
                <w:webHidden/>
              </w:rPr>
              <w:instrText xml:space="preserve"> PAGEREF _Toc401667861 \h </w:instrText>
            </w:r>
            <w:r w:rsidR="00ED6A5C">
              <w:rPr>
                <w:webHidden/>
              </w:rPr>
            </w:r>
            <w:r w:rsidR="00ED6A5C">
              <w:rPr>
                <w:webHidden/>
              </w:rPr>
              <w:fldChar w:fldCharType="separate"/>
            </w:r>
            <w:r>
              <w:rPr>
                <w:webHidden/>
              </w:rPr>
              <w:t>34</w:t>
            </w:r>
            <w:r w:rsidR="00ED6A5C">
              <w:rPr>
                <w:webHidden/>
              </w:rPr>
              <w:fldChar w:fldCharType="end"/>
            </w:r>
          </w:hyperlink>
        </w:p>
        <w:p w14:paraId="31E25168" w14:textId="77777777" w:rsidR="00ED6A5C" w:rsidRDefault="00302A02">
          <w:pPr>
            <w:pStyle w:val="TOC1"/>
            <w:rPr>
              <w:rFonts w:asciiTheme="minorHAnsi" w:hAnsiTheme="minorHAnsi"/>
              <w:b w:val="0"/>
              <w:smallCaps w:val="0"/>
              <w:noProof/>
              <w:sz w:val="22"/>
            </w:rPr>
          </w:pPr>
          <w:hyperlink w:anchor="_Toc401667862" w:history="1">
            <w:r w:rsidR="00ED6A5C" w:rsidRPr="000C16F0">
              <w:rPr>
                <w:rStyle w:val="Hyperlink"/>
                <w:rFonts w:cs="Arial"/>
                <w:noProof/>
                <w:snapToGrid w:val="0"/>
                <w:w w:val="0"/>
              </w:rPr>
              <w:t>Appendix A</w:t>
            </w:r>
            <w:r w:rsidR="00ED6A5C">
              <w:rPr>
                <w:rFonts w:asciiTheme="minorHAnsi" w:hAnsiTheme="minorHAnsi"/>
                <w:b w:val="0"/>
                <w:smallCaps w:val="0"/>
                <w:noProof/>
                <w:sz w:val="22"/>
              </w:rPr>
              <w:tab/>
            </w:r>
            <w:r w:rsidR="00ED6A5C" w:rsidRPr="000C16F0">
              <w:rPr>
                <w:rStyle w:val="Hyperlink"/>
                <w:noProof/>
              </w:rPr>
              <w:t>Acronyms</w:t>
            </w:r>
            <w:r w:rsidR="00ED6A5C">
              <w:rPr>
                <w:noProof/>
                <w:webHidden/>
              </w:rPr>
              <w:tab/>
            </w:r>
            <w:r w:rsidR="00ED6A5C">
              <w:rPr>
                <w:noProof/>
                <w:webHidden/>
              </w:rPr>
              <w:fldChar w:fldCharType="begin"/>
            </w:r>
            <w:r w:rsidR="00ED6A5C">
              <w:rPr>
                <w:noProof/>
                <w:webHidden/>
              </w:rPr>
              <w:instrText xml:space="preserve"> PAGEREF _Toc401667862 \h </w:instrText>
            </w:r>
            <w:r w:rsidR="00ED6A5C">
              <w:rPr>
                <w:noProof/>
                <w:webHidden/>
              </w:rPr>
            </w:r>
            <w:r w:rsidR="00ED6A5C">
              <w:rPr>
                <w:noProof/>
                <w:webHidden/>
              </w:rPr>
              <w:fldChar w:fldCharType="separate"/>
            </w:r>
            <w:r>
              <w:rPr>
                <w:noProof/>
                <w:webHidden/>
              </w:rPr>
              <w:t>1</w:t>
            </w:r>
            <w:r w:rsidR="00ED6A5C">
              <w:rPr>
                <w:noProof/>
                <w:webHidden/>
              </w:rPr>
              <w:fldChar w:fldCharType="end"/>
            </w:r>
          </w:hyperlink>
        </w:p>
        <w:p w14:paraId="5259C791" w14:textId="77777777" w:rsidR="00ED6A5C" w:rsidRDefault="00302A02">
          <w:pPr>
            <w:pStyle w:val="TOC1"/>
            <w:rPr>
              <w:rFonts w:asciiTheme="minorHAnsi" w:hAnsiTheme="minorHAnsi"/>
              <w:b w:val="0"/>
              <w:smallCaps w:val="0"/>
              <w:noProof/>
              <w:sz w:val="22"/>
            </w:rPr>
          </w:pPr>
          <w:hyperlink w:anchor="_Toc401667863" w:history="1">
            <w:r w:rsidR="00ED6A5C" w:rsidRPr="000C16F0">
              <w:rPr>
                <w:rStyle w:val="Hyperlink"/>
                <w:rFonts w:cs="Arial"/>
                <w:noProof/>
                <w:snapToGrid w:val="0"/>
                <w:w w:val="0"/>
              </w:rPr>
              <w:t>Appendix B</w:t>
            </w:r>
            <w:r w:rsidR="00ED6A5C">
              <w:rPr>
                <w:rFonts w:asciiTheme="minorHAnsi" w:hAnsiTheme="minorHAnsi"/>
                <w:b w:val="0"/>
                <w:smallCaps w:val="0"/>
                <w:noProof/>
                <w:sz w:val="22"/>
              </w:rPr>
              <w:tab/>
            </w:r>
            <w:r w:rsidR="00ED6A5C" w:rsidRPr="000C16F0">
              <w:rPr>
                <w:rStyle w:val="Hyperlink"/>
                <w:noProof/>
              </w:rPr>
              <w:t>References</w:t>
            </w:r>
            <w:r w:rsidR="00ED6A5C">
              <w:rPr>
                <w:noProof/>
                <w:webHidden/>
              </w:rPr>
              <w:tab/>
            </w:r>
            <w:r w:rsidR="00ED6A5C">
              <w:rPr>
                <w:noProof/>
                <w:webHidden/>
              </w:rPr>
              <w:fldChar w:fldCharType="begin"/>
            </w:r>
            <w:r w:rsidR="00ED6A5C">
              <w:rPr>
                <w:noProof/>
                <w:webHidden/>
              </w:rPr>
              <w:instrText xml:space="preserve"> PAGEREF _Toc401667863 \h </w:instrText>
            </w:r>
            <w:r w:rsidR="00ED6A5C">
              <w:rPr>
                <w:noProof/>
                <w:webHidden/>
              </w:rPr>
            </w:r>
            <w:r w:rsidR="00ED6A5C">
              <w:rPr>
                <w:noProof/>
                <w:webHidden/>
              </w:rPr>
              <w:fldChar w:fldCharType="separate"/>
            </w:r>
            <w:r>
              <w:rPr>
                <w:noProof/>
                <w:webHidden/>
              </w:rPr>
              <w:t>1</w:t>
            </w:r>
            <w:r w:rsidR="00ED6A5C">
              <w:rPr>
                <w:noProof/>
                <w:webHidden/>
              </w:rPr>
              <w:fldChar w:fldCharType="end"/>
            </w:r>
          </w:hyperlink>
        </w:p>
        <w:p w14:paraId="5971C72A" w14:textId="77777777" w:rsidR="00623A07" w:rsidRDefault="006F0352" w:rsidP="004341CC">
          <w:r>
            <w:fldChar w:fldCharType="end"/>
          </w:r>
        </w:p>
      </w:sdtContent>
    </w:sdt>
    <w:p w14:paraId="7CF276E9" w14:textId="77777777" w:rsidR="001278BF" w:rsidRDefault="001278BF">
      <w:pPr>
        <w:pStyle w:val="TableofFigures"/>
        <w:tabs>
          <w:tab w:val="right" w:leader="dot" w:pos="9350"/>
        </w:tabs>
        <w:rPr>
          <w:rFonts w:hint="eastAsia"/>
        </w:rPr>
      </w:pPr>
    </w:p>
    <w:p w14:paraId="7CC8D4FB" w14:textId="77777777" w:rsidR="001278BF" w:rsidRPr="001278BF" w:rsidRDefault="001278BF" w:rsidP="00AE0F34">
      <w:pPr>
        <w:pStyle w:val="TOCTitle"/>
      </w:pPr>
      <w:r>
        <w:lastRenderedPageBreak/>
        <w:t>Tables</w:t>
      </w:r>
    </w:p>
    <w:p w14:paraId="3F9FA9A1" w14:textId="77777777" w:rsidR="006C5A8A" w:rsidRDefault="006F0352">
      <w:pPr>
        <w:pStyle w:val="TableofFigures"/>
        <w:tabs>
          <w:tab w:val="right" w:leader="dot" w:pos="9350"/>
        </w:tabs>
        <w:rPr>
          <w:rFonts w:asciiTheme="minorHAnsi" w:hAnsiTheme="minorHAnsi"/>
          <w:b w:val="0"/>
          <w:smallCaps w:val="0"/>
          <w:noProof/>
          <w:sz w:val="22"/>
          <w:lang w:bidi="ar-SA"/>
        </w:rPr>
      </w:pPr>
      <w:r w:rsidRPr="0001568B">
        <w:rPr>
          <w:rFonts w:ascii="Times New Roman" w:hAnsi="Times New Roman" w:cs="Times New Roman"/>
          <w:caps/>
          <w:szCs w:val="24"/>
        </w:rPr>
        <w:fldChar w:fldCharType="begin"/>
      </w:r>
      <w:r w:rsidR="001278BF" w:rsidRPr="0001568B">
        <w:rPr>
          <w:rFonts w:ascii="Times New Roman" w:hAnsi="Times New Roman" w:cs="Times New Roman"/>
          <w:szCs w:val="24"/>
        </w:rPr>
        <w:instrText xml:space="preserve"> TOC \h \z \c "Table" </w:instrText>
      </w:r>
      <w:r w:rsidRPr="0001568B">
        <w:rPr>
          <w:rFonts w:ascii="Times New Roman" w:hAnsi="Times New Roman" w:cs="Times New Roman"/>
          <w:caps/>
          <w:szCs w:val="24"/>
        </w:rPr>
        <w:fldChar w:fldCharType="separate"/>
      </w:r>
      <w:hyperlink w:anchor="_Toc400007925" w:history="1">
        <w:r w:rsidR="006C5A8A" w:rsidRPr="00756793">
          <w:rPr>
            <w:rStyle w:val="Hyperlink"/>
            <w:noProof/>
          </w:rPr>
          <w:t>Table 1: Consumer Electronics Product Categories – Annual Energy Usage and Installed Base</w:t>
        </w:r>
        <w:r w:rsidR="006C5A8A">
          <w:rPr>
            <w:noProof/>
            <w:webHidden/>
          </w:rPr>
          <w:tab/>
        </w:r>
        <w:r w:rsidR="006C5A8A">
          <w:rPr>
            <w:noProof/>
            <w:webHidden/>
          </w:rPr>
          <w:fldChar w:fldCharType="begin"/>
        </w:r>
        <w:r w:rsidR="006C5A8A">
          <w:rPr>
            <w:noProof/>
            <w:webHidden/>
          </w:rPr>
          <w:instrText xml:space="preserve"> PAGEREF _Toc400007925 \h </w:instrText>
        </w:r>
        <w:r w:rsidR="006C5A8A">
          <w:rPr>
            <w:noProof/>
            <w:webHidden/>
          </w:rPr>
        </w:r>
        <w:r w:rsidR="006C5A8A">
          <w:rPr>
            <w:noProof/>
            <w:webHidden/>
          </w:rPr>
          <w:fldChar w:fldCharType="separate"/>
        </w:r>
        <w:r w:rsidR="00302A02">
          <w:rPr>
            <w:noProof/>
            <w:webHidden/>
          </w:rPr>
          <w:t>4</w:t>
        </w:r>
        <w:r w:rsidR="006C5A8A">
          <w:rPr>
            <w:noProof/>
            <w:webHidden/>
          </w:rPr>
          <w:fldChar w:fldCharType="end"/>
        </w:r>
      </w:hyperlink>
    </w:p>
    <w:p w14:paraId="6B3B567C"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26" w:history="1">
        <w:r w:rsidR="006C5A8A" w:rsidRPr="00756793">
          <w:rPr>
            <w:rStyle w:val="Hyperlink"/>
            <w:noProof/>
          </w:rPr>
          <w:t>Table 2: Energy Efficiency Specifications, Recognition Efforts, and Standards by Product Category</w:t>
        </w:r>
        <w:r w:rsidR="006C5A8A">
          <w:rPr>
            <w:noProof/>
            <w:webHidden/>
          </w:rPr>
          <w:tab/>
        </w:r>
        <w:r w:rsidR="006C5A8A">
          <w:rPr>
            <w:noProof/>
            <w:webHidden/>
          </w:rPr>
          <w:fldChar w:fldCharType="begin"/>
        </w:r>
        <w:r w:rsidR="006C5A8A">
          <w:rPr>
            <w:noProof/>
            <w:webHidden/>
          </w:rPr>
          <w:instrText xml:space="preserve"> PAGEREF _Toc400007926 \h </w:instrText>
        </w:r>
        <w:r w:rsidR="006C5A8A">
          <w:rPr>
            <w:noProof/>
            <w:webHidden/>
          </w:rPr>
        </w:r>
        <w:r w:rsidR="006C5A8A">
          <w:rPr>
            <w:noProof/>
            <w:webHidden/>
          </w:rPr>
          <w:fldChar w:fldCharType="separate"/>
        </w:r>
        <w:r>
          <w:rPr>
            <w:noProof/>
            <w:webHidden/>
          </w:rPr>
          <w:t>6</w:t>
        </w:r>
        <w:r w:rsidR="006C5A8A">
          <w:rPr>
            <w:noProof/>
            <w:webHidden/>
          </w:rPr>
          <w:fldChar w:fldCharType="end"/>
        </w:r>
      </w:hyperlink>
    </w:p>
    <w:p w14:paraId="5E71BA72"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27" w:history="1">
        <w:r w:rsidR="006C5A8A" w:rsidRPr="00756793">
          <w:rPr>
            <w:rStyle w:val="Hyperlink"/>
            <w:noProof/>
          </w:rPr>
          <w:t>Table 3: Energy Savings Opportunities – Televisions</w:t>
        </w:r>
        <w:r w:rsidR="006C5A8A">
          <w:rPr>
            <w:noProof/>
            <w:webHidden/>
          </w:rPr>
          <w:tab/>
        </w:r>
        <w:r w:rsidR="006C5A8A">
          <w:rPr>
            <w:noProof/>
            <w:webHidden/>
          </w:rPr>
          <w:fldChar w:fldCharType="begin"/>
        </w:r>
        <w:r w:rsidR="006C5A8A">
          <w:rPr>
            <w:noProof/>
            <w:webHidden/>
          </w:rPr>
          <w:instrText xml:space="preserve"> PAGEREF _Toc400007927 \h </w:instrText>
        </w:r>
        <w:r w:rsidR="006C5A8A">
          <w:rPr>
            <w:noProof/>
            <w:webHidden/>
          </w:rPr>
        </w:r>
        <w:r w:rsidR="006C5A8A">
          <w:rPr>
            <w:noProof/>
            <w:webHidden/>
          </w:rPr>
          <w:fldChar w:fldCharType="separate"/>
        </w:r>
        <w:r>
          <w:rPr>
            <w:noProof/>
            <w:webHidden/>
          </w:rPr>
          <w:t>11</w:t>
        </w:r>
        <w:r w:rsidR="006C5A8A">
          <w:rPr>
            <w:noProof/>
            <w:webHidden/>
          </w:rPr>
          <w:fldChar w:fldCharType="end"/>
        </w:r>
      </w:hyperlink>
    </w:p>
    <w:p w14:paraId="4C0A9ABA"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28" w:history="1">
        <w:r w:rsidR="006C5A8A" w:rsidRPr="00756793">
          <w:rPr>
            <w:rStyle w:val="Hyperlink"/>
            <w:noProof/>
          </w:rPr>
          <w:t>Table 4: Energy Savings Opportunities – Set-Top Boxes</w:t>
        </w:r>
        <w:r w:rsidR="006C5A8A">
          <w:rPr>
            <w:noProof/>
            <w:webHidden/>
          </w:rPr>
          <w:tab/>
        </w:r>
        <w:r w:rsidR="006C5A8A">
          <w:rPr>
            <w:noProof/>
            <w:webHidden/>
          </w:rPr>
          <w:fldChar w:fldCharType="begin"/>
        </w:r>
        <w:r w:rsidR="006C5A8A">
          <w:rPr>
            <w:noProof/>
            <w:webHidden/>
          </w:rPr>
          <w:instrText xml:space="preserve"> PAGEREF _Toc400007928 \h </w:instrText>
        </w:r>
        <w:r w:rsidR="006C5A8A">
          <w:rPr>
            <w:noProof/>
            <w:webHidden/>
          </w:rPr>
        </w:r>
        <w:r w:rsidR="006C5A8A">
          <w:rPr>
            <w:noProof/>
            <w:webHidden/>
          </w:rPr>
          <w:fldChar w:fldCharType="separate"/>
        </w:r>
        <w:r>
          <w:rPr>
            <w:noProof/>
            <w:webHidden/>
          </w:rPr>
          <w:t>14</w:t>
        </w:r>
        <w:r w:rsidR="006C5A8A">
          <w:rPr>
            <w:noProof/>
            <w:webHidden/>
          </w:rPr>
          <w:fldChar w:fldCharType="end"/>
        </w:r>
      </w:hyperlink>
    </w:p>
    <w:p w14:paraId="4DDEC050"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29" w:history="1">
        <w:r w:rsidR="006C5A8A" w:rsidRPr="00756793">
          <w:rPr>
            <w:rStyle w:val="Hyperlink"/>
            <w:noProof/>
          </w:rPr>
          <w:t>Table 5: Energy Savings Opportunities – Personal Computers</w:t>
        </w:r>
        <w:r w:rsidR="006C5A8A">
          <w:rPr>
            <w:noProof/>
            <w:webHidden/>
          </w:rPr>
          <w:tab/>
        </w:r>
        <w:r w:rsidR="006C5A8A">
          <w:rPr>
            <w:noProof/>
            <w:webHidden/>
          </w:rPr>
          <w:fldChar w:fldCharType="begin"/>
        </w:r>
        <w:r w:rsidR="006C5A8A">
          <w:rPr>
            <w:noProof/>
            <w:webHidden/>
          </w:rPr>
          <w:instrText xml:space="preserve"> PAGEREF _Toc400007929 \h </w:instrText>
        </w:r>
        <w:r w:rsidR="006C5A8A">
          <w:rPr>
            <w:noProof/>
            <w:webHidden/>
          </w:rPr>
        </w:r>
        <w:r w:rsidR="006C5A8A">
          <w:rPr>
            <w:noProof/>
            <w:webHidden/>
          </w:rPr>
          <w:fldChar w:fldCharType="separate"/>
        </w:r>
        <w:r>
          <w:rPr>
            <w:noProof/>
            <w:webHidden/>
          </w:rPr>
          <w:t>16</w:t>
        </w:r>
        <w:r w:rsidR="006C5A8A">
          <w:rPr>
            <w:noProof/>
            <w:webHidden/>
          </w:rPr>
          <w:fldChar w:fldCharType="end"/>
        </w:r>
      </w:hyperlink>
    </w:p>
    <w:p w14:paraId="7584A8BB"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0" w:history="1">
        <w:r w:rsidR="006C5A8A" w:rsidRPr="00756793">
          <w:rPr>
            <w:rStyle w:val="Hyperlink"/>
            <w:noProof/>
          </w:rPr>
          <w:t>Table 6: Energy Savings Opportunities – Network Equipment</w:t>
        </w:r>
        <w:r w:rsidR="006C5A8A">
          <w:rPr>
            <w:noProof/>
            <w:webHidden/>
          </w:rPr>
          <w:tab/>
        </w:r>
        <w:r w:rsidR="006C5A8A">
          <w:rPr>
            <w:noProof/>
            <w:webHidden/>
          </w:rPr>
          <w:fldChar w:fldCharType="begin"/>
        </w:r>
        <w:r w:rsidR="006C5A8A">
          <w:rPr>
            <w:noProof/>
            <w:webHidden/>
          </w:rPr>
          <w:instrText xml:space="preserve"> PAGEREF _Toc400007930 \h </w:instrText>
        </w:r>
        <w:r w:rsidR="006C5A8A">
          <w:rPr>
            <w:noProof/>
            <w:webHidden/>
          </w:rPr>
        </w:r>
        <w:r w:rsidR="006C5A8A">
          <w:rPr>
            <w:noProof/>
            <w:webHidden/>
          </w:rPr>
          <w:fldChar w:fldCharType="separate"/>
        </w:r>
        <w:r>
          <w:rPr>
            <w:noProof/>
            <w:webHidden/>
          </w:rPr>
          <w:t>19</w:t>
        </w:r>
        <w:r w:rsidR="006C5A8A">
          <w:rPr>
            <w:noProof/>
            <w:webHidden/>
          </w:rPr>
          <w:fldChar w:fldCharType="end"/>
        </w:r>
      </w:hyperlink>
    </w:p>
    <w:p w14:paraId="7D4A0ECF"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1" w:history="1">
        <w:r w:rsidR="006C5A8A" w:rsidRPr="00756793">
          <w:rPr>
            <w:rStyle w:val="Hyperlink"/>
            <w:noProof/>
          </w:rPr>
          <w:t>Table 7: Energy Savings Opportunities – Game Consoles</w:t>
        </w:r>
        <w:r w:rsidR="006C5A8A">
          <w:rPr>
            <w:noProof/>
            <w:webHidden/>
          </w:rPr>
          <w:tab/>
        </w:r>
        <w:r w:rsidR="006C5A8A">
          <w:rPr>
            <w:noProof/>
            <w:webHidden/>
          </w:rPr>
          <w:fldChar w:fldCharType="begin"/>
        </w:r>
        <w:r w:rsidR="006C5A8A">
          <w:rPr>
            <w:noProof/>
            <w:webHidden/>
          </w:rPr>
          <w:instrText xml:space="preserve"> PAGEREF _Toc400007931 \h </w:instrText>
        </w:r>
        <w:r w:rsidR="006C5A8A">
          <w:rPr>
            <w:noProof/>
            <w:webHidden/>
          </w:rPr>
        </w:r>
        <w:r w:rsidR="006C5A8A">
          <w:rPr>
            <w:noProof/>
            <w:webHidden/>
          </w:rPr>
          <w:fldChar w:fldCharType="separate"/>
        </w:r>
        <w:r>
          <w:rPr>
            <w:noProof/>
            <w:webHidden/>
          </w:rPr>
          <w:t>21</w:t>
        </w:r>
        <w:r w:rsidR="006C5A8A">
          <w:rPr>
            <w:noProof/>
            <w:webHidden/>
          </w:rPr>
          <w:fldChar w:fldCharType="end"/>
        </w:r>
      </w:hyperlink>
    </w:p>
    <w:p w14:paraId="1D27053A"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2" w:history="1">
        <w:r w:rsidR="006C5A8A" w:rsidRPr="00756793">
          <w:rPr>
            <w:rStyle w:val="Hyperlink"/>
            <w:noProof/>
          </w:rPr>
          <w:t>Table 8: Consumer Electronics Product Categories –  ENERGY STAR Market Penetration (2013)</w:t>
        </w:r>
        <w:r w:rsidR="006C5A8A">
          <w:rPr>
            <w:noProof/>
            <w:webHidden/>
          </w:rPr>
          <w:tab/>
        </w:r>
        <w:r w:rsidR="006C5A8A">
          <w:rPr>
            <w:noProof/>
            <w:webHidden/>
          </w:rPr>
          <w:fldChar w:fldCharType="begin"/>
        </w:r>
        <w:r w:rsidR="006C5A8A">
          <w:rPr>
            <w:noProof/>
            <w:webHidden/>
          </w:rPr>
          <w:instrText xml:space="preserve"> PAGEREF _Toc400007932 \h </w:instrText>
        </w:r>
        <w:r w:rsidR="006C5A8A">
          <w:rPr>
            <w:noProof/>
            <w:webHidden/>
          </w:rPr>
        </w:r>
        <w:r w:rsidR="006C5A8A">
          <w:rPr>
            <w:noProof/>
            <w:webHidden/>
          </w:rPr>
          <w:fldChar w:fldCharType="separate"/>
        </w:r>
        <w:r>
          <w:rPr>
            <w:noProof/>
            <w:webHidden/>
          </w:rPr>
          <w:t>24</w:t>
        </w:r>
        <w:r w:rsidR="006C5A8A">
          <w:rPr>
            <w:noProof/>
            <w:webHidden/>
          </w:rPr>
          <w:fldChar w:fldCharType="end"/>
        </w:r>
      </w:hyperlink>
    </w:p>
    <w:p w14:paraId="7D003671"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3" w:history="1">
        <w:r w:rsidR="006C5A8A" w:rsidRPr="00756793">
          <w:rPr>
            <w:rStyle w:val="Hyperlink"/>
            <w:noProof/>
          </w:rPr>
          <w:t>Table 9: Estimated Technical Energy Savings Potential from Cable or Satellite Pay-TV Discontinuation</w:t>
        </w:r>
        <w:r w:rsidR="006C5A8A">
          <w:rPr>
            <w:noProof/>
            <w:webHidden/>
          </w:rPr>
          <w:tab/>
        </w:r>
        <w:r w:rsidR="006C5A8A">
          <w:rPr>
            <w:noProof/>
            <w:webHidden/>
          </w:rPr>
          <w:fldChar w:fldCharType="begin"/>
        </w:r>
        <w:r w:rsidR="006C5A8A">
          <w:rPr>
            <w:noProof/>
            <w:webHidden/>
          </w:rPr>
          <w:instrText xml:space="preserve"> PAGEREF _Toc400007933 \h </w:instrText>
        </w:r>
        <w:r w:rsidR="006C5A8A">
          <w:rPr>
            <w:noProof/>
            <w:webHidden/>
          </w:rPr>
          <w:fldChar w:fldCharType="separate"/>
        </w:r>
        <w:r>
          <w:rPr>
            <w:b w:val="0"/>
            <w:noProof/>
            <w:webHidden/>
          </w:rPr>
          <w:t>Error! Bookmark not defined.</w:t>
        </w:r>
        <w:r w:rsidR="006C5A8A">
          <w:rPr>
            <w:noProof/>
            <w:webHidden/>
          </w:rPr>
          <w:t>27</w:t>
        </w:r>
        <w:r w:rsidR="006C5A8A">
          <w:rPr>
            <w:noProof/>
            <w:webHidden/>
          </w:rPr>
          <w:fldChar w:fldCharType="end"/>
        </w:r>
      </w:hyperlink>
    </w:p>
    <w:p w14:paraId="0C358BFC"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4" w:history="1">
        <w:r w:rsidR="006C5A8A" w:rsidRPr="00756793">
          <w:rPr>
            <w:rStyle w:val="Hyperlink"/>
            <w:noProof/>
          </w:rPr>
          <w:t>Table 10: Estimated Technical Energy Savings Potential from Ideal Power Management on Installed Desktop PCs</w:t>
        </w:r>
        <w:r w:rsidR="006C5A8A">
          <w:rPr>
            <w:noProof/>
            <w:webHidden/>
          </w:rPr>
          <w:tab/>
        </w:r>
        <w:r w:rsidR="006C5A8A">
          <w:rPr>
            <w:noProof/>
            <w:webHidden/>
          </w:rPr>
          <w:fldChar w:fldCharType="begin"/>
        </w:r>
        <w:r w:rsidR="006C5A8A">
          <w:rPr>
            <w:noProof/>
            <w:webHidden/>
          </w:rPr>
          <w:instrText xml:space="preserve"> PAGEREF _Toc400007934 \h </w:instrText>
        </w:r>
        <w:r w:rsidR="006C5A8A">
          <w:rPr>
            <w:noProof/>
            <w:webHidden/>
          </w:rPr>
        </w:r>
        <w:r w:rsidR="006C5A8A">
          <w:rPr>
            <w:noProof/>
            <w:webHidden/>
          </w:rPr>
          <w:fldChar w:fldCharType="separate"/>
        </w:r>
        <w:r>
          <w:rPr>
            <w:noProof/>
            <w:webHidden/>
          </w:rPr>
          <w:t>28</w:t>
        </w:r>
        <w:r w:rsidR="006C5A8A">
          <w:rPr>
            <w:noProof/>
            <w:webHidden/>
          </w:rPr>
          <w:fldChar w:fldCharType="end"/>
        </w:r>
      </w:hyperlink>
    </w:p>
    <w:p w14:paraId="7D47EAA1" w14:textId="77777777" w:rsidR="006C5A8A" w:rsidRDefault="00302A02">
      <w:pPr>
        <w:pStyle w:val="TableofFigures"/>
        <w:tabs>
          <w:tab w:val="right" w:leader="dot" w:pos="9350"/>
        </w:tabs>
        <w:rPr>
          <w:rFonts w:asciiTheme="minorHAnsi" w:hAnsiTheme="minorHAnsi"/>
          <w:b w:val="0"/>
          <w:smallCaps w:val="0"/>
          <w:noProof/>
          <w:sz w:val="22"/>
          <w:lang w:bidi="ar-SA"/>
        </w:rPr>
      </w:pPr>
      <w:hyperlink w:anchor="_Toc400007935" w:history="1">
        <w:r w:rsidR="006C5A8A" w:rsidRPr="00756793">
          <w:rPr>
            <w:rStyle w:val="Hyperlink"/>
            <w:noProof/>
          </w:rPr>
          <w:t>Table 11: Acronyms</w:t>
        </w:r>
        <w:r w:rsidR="006C5A8A">
          <w:rPr>
            <w:noProof/>
            <w:webHidden/>
          </w:rPr>
          <w:tab/>
        </w:r>
        <w:r w:rsidR="006C5A8A">
          <w:rPr>
            <w:noProof/>
            <w:webHidden/>
          </w:rPr>
          <w:fldChar w:fldCharType="begin"/>
        </w:r>
        <w:r w:rsidR="006C5A8A">
          <w:rPr>
            <w:noProof/>
            <w:webHidden/>
          </w:rPr>
          <w:instrText xml:space="preserve"> PAGEREF _Toc400007935 \h </w:instrText>
        </w:r>
        <w:r w:rsidR="006C5A8A">
          <w:rPr>
            <w:noProof/>
            <w:webHidden/>
          </w:rPr>
        </w:r>
        <w:r w:rsidR="006C5A8A">
          <w:rPr>
            <w:noProof/>
            <w:webHidden/>
          </w:rPr>
          <w:fldChar w:fldCharType="separate"/>
        </w:r>
        <w:r>
          <w:rPr>
            <w:noProof/>
            <w:webHidden/>
          </w:rPr>
          <w:t>1</w:t>
        </w:r>
        <w:r w:rsidR="006C5A8A">
          <w:rPr>
            <w:noProof/>
            <w:webHidden/>
          </w:rPr>
          <w:fldChar w:fldCharType="end"/>
        </w:r>
      </w:hyperlink>
    </w:p>
    <w:p w14:paraId="4B012982" w14:textId="77777777" w:rsidR="001278BF" w:rsidRDefault="006F0352" w:rsidP="004341CC">
      <w:r w:rsidRPr="0001568B">
        <w:rPr>
          <w:rFonts w:cs="Times New Roman"/>
          <w:szCs w:val="24"/>
        </w:rPr>
        <w:fldChar w:fldCharType="end"/>
      </w:r>
    </w:p>
    <w:p w14:paraId="06A2465C" w14:textId="77777777" w:rsidR="00623A07" w:rsidRDefault="00623A07" w:rsidP="004341CC">
      <w:pPr>
        <w:sectPr w:rsidR="00623A07" w:rsidSect="004341CC">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1A71DAA4" w14:textId="77777777" w:rsidR="00A5363D" w:rsidRDefault="00A5363D" w:rsidP="004C67E5">
      <w:pPr>
        <w:pStyle w:val="Heading1"/>
        <w:numPr>
          <w:ilvl w:val="0"/>
          <w:numId w:val="0"/>
        </w:numPr>
      </w:pPr>
      <w:bookmarkStart w:id="1" w:name="_Toc401667837"/>
      <w:r>
        <w:lastRenderedPageBreak/>
        <w:t>Executive Summary</w:t>
      </w:r>
      <w:bookmarkEnd w:id="1"/>
    </w:p>
    <w:p w14:paraId="1CDD874B" w14:textId="77777777" w:rsidR="0001568B" w:rsidRDefault="0024245A" w:rsidP="0001568B">
      <w:pPr>
        <w:rPr>
          <w:szCs w:val="24"/>
        </w:rPr>
      </w:pPr>
      <w:r>
        <w:t xml:space="preserve">In order to identify the potential for a residential customer electronics program in Connecticut, </w:t>
      </w:r>
      <w:r w:rsidR="0001568B">
        <w:t>NMR Group, Inc. (NMR) conducted a literature review for the Energy Efficiency Board (EEB).</w:t>
      </w:r>
      <w:r w:rsidR="0001568B">
        <w:rPr>
          <w:rStyle w:val="FootnoteReference"/>
        </w:rPr>
        <w:footnoteReference w:id="1"/>
      </w:r>
      <w:r w:rsidR="0001568B">
        <w:t xml:space="preserve"> To this end, NMR researched </w:t>
      </w:r>
      <w:r>
        <w:t xml:space="preserve">literature published between 2012 and 2014 </w:t>
      </w:r>
      <w:r w:rsidR="0001568B">
        <w:t xml:space="preserve">and </w:t>
      </w:r>
      <w:r w:rsidR="00A40E7D">
        <w:t>used th</w:t>
      </w:r>
      <w:r w:rsidR="00CB6A68">
        <w:t>is</w:t>
      </w:r>
      <w:r w:rsidR="00A40E7D">
        <w:t xml:space="preserve"> information to </w:t>
      </w:r>
      <w:r w:rsidR="0001568B">
        <w:t>estimate potential energy savings associated with consumer electronics measures. In addition to reporting these findings, t</w:t>
      </w:r>
      <w:r w:rsidR="0001568B" w:rsidRPr="005249B7">
        <w:rPr>
          <w:szCs w:val="24"/>
        </w:rPr>
        <w:t>h</w:t>
      </w:r>
      <w:r w:rsidR="0001568B">
        <w:rPr>
          <w:szCs w:val="24"/>
        </w:rPr>
        <w:t>is</w:t>
      </w:r>
      <w:r w:rsidR="0001568B" w:rsidRPr="005249B7">
        <w:rPr>
          <w:szCs w:val="24"/>
        </w:rPr>
        <w:t xml:space="preserve"> report contextualizes the</w:t>
      </w:r>
      <w:r w:rsidR="0001568B">
        <w:rPr>
          <w:szCs w:val="24"/>
        </w:rPr>
        <w:t xml:space="preserve"> savings</w:t>
      </w:r>
      <w:r w:rsidR="0001568B" w:rsidRPr="005249B7">
        <w:rPr>
          <w:szCs w:val="24"/>
        </w:rPr>
        <w:t xml:space="preserve"> measures within the confines of market barriers that might affect willingness to participate, market trends that might increase chances of free ridership, and saturation rates that might limit the technical potential for a program to make an impact in the territory</w:t>
      </w:r>
      <w:r w:rsidR="0001568B">
        <w:rPr>
          <w:szCs w:val="24"/>
        </w:rPr>
        <w:t>.</w:t>
      </w:r>
    </w:p>
    <w:p w14:paraId="799C072F" w14:textId="7BF5E248" w:rsidR="0001568B" w:rsidRPr="003D54EF" w:rsidRDefault="0001568B" w:rsidP="0001568B">
      <w:pPr>
        <w:rPr>
          <w:szCs w:val="24"/>
        </w:rPr>
      </w:pPr>
      <w:r w:rsidRPr="005249B7">
        <w:rPr>
          <w:szCs w:val="24"/>
        </w:rPr>
        <w:t xml:space="preserve">Many of the findings suggest that the EEB may </w:t>
      </w:r>
      <w:r>
        <w:rPr>
          <w:szCs w:val="24"/>
        </w:rPr>
        <w:t>benefit from</w:t>
      </w:r>
      <w:r w:rsidRPr="005249B7">
        <w:rPr>
          <w:szCs w:val="24"/>
        </w:rPr>
        <w:t xml:space="preserve"> commission</w:t>
      </w:r>
      <w:r>
        <w:rPr>
          <w:szCs w:val="24"/>
        </w:rPr>
        <w:t>ing</w:t>
      </w:r>
      <w:r w:rsidRPr="005249B7">
        <w:rPr>
          <w:szCs w:val="24"/>
        </w:rPr>
        <w:t xml:space="preserve"> </w:t>
      </w:r>
      <w:r>
        <w:t xml:space="preserve">a more detailed consumer electronics potential study in the future. Ideally, a future study would provide greater detail on both program and energy savings </w:t>
      </w:r>
      <w:r w:rsidRPr="00A35016">
        <w:t>potential</w:t>
      </w:r>
      <w:r>
        <w:t xml:space="preserve"> through</w:t>
      </w:r>
      <w:r w:rsidRPr="00A35016">
        <w:rPr>
          <w:szCs w:val="24"/>
        </w:rPr>
        <w:t xml:space="preserve"> </w:t>
      </w:r>
      <w:r w:rsidR="00790994">
        <w:rPr>
          <w:szCs w:val="24"/>
        </w:rPr>
        <w:t xml:space="preserve">one of the following methods: </w:t>
      </w:r>
      <w:r w:rsidRPr="00A35016">
        <w:rPr>
          <w:szCs w:val="24"/>
        </w:rPr>
        <w:t>1) qualitative research</w:t>
      </w:r>
      <w:r w:rsidR="006B5535">
        <w:rPr>
          <w:szCs w:val="24"/>
        </w:rPr>
        <w:t xml:space="preserve"> involving</w:t>
      </w:r>
      <w:r w:rsidR="00C17FEC">
        <w:rPr>
          <w:szCs w:val="24"/>
        </w:rPr>
        <w:t xml:space="preserve"> </w:t>
      </w:r>
      <w:r w:rsidRPr="00A35016">
        <w:rPr>
          <w:szCs w:val="24"/>
        </w:rPr>
        <w:t>activities such as in-depth interviews</w:t>
      </w:r>
      <w:r w:rsidR="00790994">
        <w:rPr>
          <w:szCs w:val="24"/>
        </w:rPr>
        <w:t>;</w:t>
      </w:r>
      <w:r w:rsidRPr="00A35016">
        <w:rPr>
          <w:szCs w:val="24"/>
        </w:rPr>
        <w:t xml:space="preserve"> 2) quantitative research, potentially using surveys with market actors</w:t>
      </w:r>
      <w:r>
        <w:rPr>
          <w:szCs w:val="24"/>
        </w:rPr>
        <w:t>, performing home site visits,</w:t>
      </w:r>
      <w:r w:rsidRPr="00A35016">
        <w:rPr>
          <w:szCs w:val="24"/>
        </w:rPr>
        <w:t xml:space="preserve"> or conducting secondary data analyses</w:t>
      </w:r>
      <w:r w:rsidR="00790994">
        <w:rPr>
          <w:szCs w:val="24"/>
        </w:rPr>
        <w:t>,</w:t>
      </w:r>
      <w:r w:rsidRPr="00A35016">
        <w:rPr>
          <w:szCs w:val="24"/>
        </w:rPr>
        <w:t xml:space="preserve"> if possible</w:t>
      </w:r>
      <w:r w:rsidR="00790994">
        <w:rPr>
          <w:szCs w:val="24"/>
        </w:rPr>
        <w:t>;</w:t>
      </w:r>
      <w:r w:rsidR="003D54EF">
        <w:rPr>
          <w:szCs w:val="24"/>
        </w:rPr>
        <w:t xml:space="preserve"> or 3) both</w:t>
      </w:r>
      <w:r w:rsidR="007A7BDB">
        <w:rPr>
          <w:szCs w:val="24"/>
        </w:rPr>
        <w:t xml:space="preserve"> types of research</w:t>
      </w:r>
      <w:r w:rsidRPr="00A35016">
        <w:rPr>
          <w:szCs w:val="24"/>
        </w:rPr>
        <w:t>.</w:t>
      </w:r>
    </w:p>
    <w:p w14:paraId="71CC8617" w14:textId="7148D928" w:rsidR="0001568B" w:rsidRPr="00377792" w:rsidRDefault="0001568B" w:rsidP="0001568B">
      <w:pPr>
        <w:rPr>
          <w:szCs w:val="24"/>
        </w:rPr>
      </w:pPr>
      <w:r w:rsidRPr="005249B7">
        <w:rPr>
          <w:szCs w:val="24"/>
        </w:rPr>
        <w:t xml:space="preserve">NMR </w:t>
      </w:r>
      <w:r w:rsidR="008D0B25">
        <w:rPr>
          <w:szCs w:val="24"/>
        </w:rPr>
        <w:t>focused on</w:t>
      </w:r>
      <w:r w:rsidRPr="005249B7">
        <w:rPr>
          <w:szCs w:val="24"/>
        </w:rPr>
        <w:t xml:space="preserve"> a number of measures that could yield reasonably high per-unit or per-household energy savings </w:t>
      </w:r>
      <w:r>
        <w:rPr>
          <w:szCs w:val="24"/>
        </w:rPr>
        <w:t>for</w:t>
      </w:r>
      <w:r w:rsidRPr="00BF2B1C">
        <w:rPr>
          <w:szCs w:val="24"/>
        </w:rPr>
        <w:t xml:space="preserve"> the</w:t>
      </w:r>
      <w:r w:rsidRPr="00CE518C">
        <w:rPr>
          <w:szCs w:val="24"/>
        </w:rPr>
        <w:t xml:space="preserve"> top</w:t>
      </w:r>
      <w:r w:rsidR="00790994">
        <w:rPr>
          <w:szCs w:val="24"/>
        </w:rPr>
        <w:t xml:space="preserve"> </w:t>
      </w:r>
      <w:r w:rsidRPr="00CE518C">
        <w:rPr>
          <w:szCs w:val="24"/>
        </w:rPr>
        <w:t xml:space="preserve">five </w:t>
      </w:r>
      <w:r w:rsidR="000331B7">
        <w:rPr>
          <w:szCs w:val="24"/>
        </w:rPr>
        <w:t>energy-</w:t>
      </w:r>
      <w:r w:rsidRPr="00CE518C">
        <w:rPr>
          <w:szCs w:val="24"/>
        </w:rPr>
        <w:t xml:space="preserve">consuming consumer electronics </w:t>
      </w:r>
      <w:r>
        <w:rPr>
          <w:szCs w:val="24"/>
        </w:rPr>
        <w:t>products</w:t>
      </w:r>
      <w:r w:rsidRPr="005249B7">
        <w:rPr>
          <w:szCs w:val="24"/>
        </w:rPr>
        <w:t>.</w:t>
      </w:r>
      <w:r>
        <w:rPr>
          <w:rStyle w:val="FootnoteReference"/>
        </w:rPr>
        <w:footnoteReference w:id="2"/>
      </w:r>
      <w:r w:rsidRPr="005249B7">
        <w:rPr>
          <w:szCs w:val="24"/>
        </w:rPr>
        <w:t xml:space="preserve"> </w:t>
      </w:r>
      <w:r>
        <w:rPr>
          <w:szCs w:val="24"/>
        </w:rPr>
        <w:t>F</w:t>
      </w:r>
      <w:r w:rsidRPr="00377792">
        <w:rPr>
          <w:szCs w:val="24"/>
        </w:rPr>
        <w:t xml:space="preserve">or each product category, </w:t>
      </w:r>
      <w:r>
        <w:rPr>
          <w:szCs w:val="24"/>
        </w:rPr>
        <w:t xml:space="preserve">the </w:t>
      </w:r>
      <w:r w:rsidRPr="005249B7">
        <w:rPr>
          <w:szCs w:val="24"/>
        </w:rPr>
        <w:t xml:space="preserve">team </w:t>
      </w:r>
      <w:r>
        <w:rPr>
          <w:szCs w:val="24"/>
        </w:rPr>
        <w:t>found at least one measure that could be implemented in the near</w:t>
      </w:r>
      <w:r w:rsidR="000331B7">
        <w:rPr>
          <w:szCs w:val="24"/>
        </w:rPr>
        <w:t xml:space="preserve"> </w:t>
      </w:r>
      <w:r>
        <w:rPr>
          <w:szCs w:val="24"/>
        </w:rPr>
        <w:t>term</w:t>
      </w:r>
      <w:r w:rsidR="000331B7">
        <w:rPr>
          <w:szCs w:val="24"/>
        </w:rPr>
        <w:t>.</w:t>
      </w:r>
      <w:r>
        <w:rPr>
          <w:szCs w:val="24"/>
        </w:rPr>
        <w:t xml:space="preserve"> </w:t>
      </w:r>
      <w:r w:rsidR="000331B7">
        <w:rPr>
          <w:szCs w:val="24"/>
        </w:rPr>
        <w:t>S</w:t>
      </w:r>
      <w:r w:rsidRPr="00377792">
        <w:rPr>
          <w:szCs w:val="24"/>
        </w:rPr>
        <w:t xml:space="preserve">ome of the most promising </w:t>
      </w:r>
      <w:r w:rsidR="003E2174" w:rsidRPr="00377792">
        <w:rPr>
          <w:szCs w:val="24"/>
        </w:rPr>
        <w:t>measures</w:t>
      </w:r>
      <w:r>
        <w:rPr>
          <w:szCs w:val="24"/>
        </w:rPr>
        <w:t xml:space="preserve"> and NMR’s suggested considerations and recommendations related to the</w:t>
      </w:r>
      <w:r w:rsidR="000331B7">
        <w:rPr>
          <w:szCs w:val="24"/>
        </w:rPr>
        <w:t>se measures</w:t>
      </w:r>
      <w:r>
        <w:rPr>
          <w:szCs w:val="24"/>
        </w:rPr>
        <w:t xml:space="preserve"> </w:t>
      </w:r>
      <w:r w:rsidRPr="00377792">
        <w:rPr>
          <w:szCs w:val="24"/>
        </w:rPr>
        <w:t>are as follows:</w:t>
      </w:r>
    </w:p>
    <w:p w14:paraId="4E410F79" w14:textId="67FB6173" w:rsidR="0001568B" w:rsidRDefault="0001568B" w:rsidP="0001568B">
      <w:pPr>
        <w:pStyle w:val="ListParagraph"/>
        <w:numPr>
          <w:ilvl w:val="0"/>
          <w:numId w:val="39"/>
        </w:numPr>
        <w:rPr>
          <w:szCs w:val="24"/>
        </w:rPr>
      </w:pPr>
      <w:r w:rsidRPr="00377792">
        <w:rPr>
          <w:b/>
        </w:rPr>
        <w:t>Televisions</w:t>
      </w:r>
      <w:r>
        <w:rPr>
          <w:b/>
        </w:rPr>
        <w:t xml:space="preserve"> (TVs)</w:t>
      </w:r>
      <w:r w:rsidRPr="00377792">
        <w:rPr>
          <w:b/>
        </w:rPr>
        <w:t>.</w:t>
      </w:r>
      <w:r w:rsidRPr="00377792">
        <w:t xml:space="preserve"> </w:t>
      </w:r>
      <w:r w:rsidRPr="00377792">
        <w:rPr>
          <w:szCs w:val="24"/>
        </w:rPr>
        <w:t>The team estimated that replacing olde</w:t>
      </w:r>
      <w:r w:rsidR="0012674A">
        <w:rPr>
          <w:szCs w:val="24"/>
        </w:rPr>
        <w:t>r installed TV models with new “</w:t>
      </w:r>
      <w:r w:rsidRPr="00377792">
        <w:rPr>
          <w:szCs w:val="24"/>
        </w:rPr>
        <w:t>best</w:t>
      </w:r>
      <w:r w:rsidR="000331B7">
        <w:rPr>
          <w:szCs w:val="24"/>
        </w:rPr>
        <w:t>-</w:t>
      </w:r>
      <w:r w:rsidRPr="00377792">
        <w:rPr>
          <w:szCs w:val="24"/>
        </w:rPr>
        <w:t>in</w:t>
      </w:r>
      <w:r w:rsidR="000331B7">
        <w:rPr>
          <w:szCs w:val="24"/>
        </w:rPr>
        <w:t>-</w:t>
      </w:r>
      <w:r w:rsidRPr="00377792">
        <w:rPr>
          <w:szCs w:val="24"/>
        </w:rPr>
        <w:t>clas</w:t>
      </w:r>
      <w:r w:rsidR="0012674A">
        <w:rPr>
          <w:szCs w:val="24"/>
        </w:rPr>
        <w:t>s”</w:t>
      </w:r>
      <w:r w:rsidRPr="00377792">
        <w:rPr>
          <w:szCs w:val="24"/>
        </w:rPr>
        <w:t xml:space="preserve"> models that are included in TopTen’s list could offer 55% savings in annual </w:t>
      </w:r>
      <w:r>
        <w:rPr>
          <w:szCs w:val="24"/>
        </w:rPr>
        <w:t>unit energy consumption (</w:t>
      </w:r>
      <w:r w:rsidRPr="00377792">
        <w:rPr>
          <w:szCs w:val="24"/>
        </w:rPr>
        <w:t>UEC</w:t>
      </w:r>
      <w:r>
        <w:rPr>
          <w:szCs w:val="24"/>
        </w:rPr>
        <w:t>)</w:t>
      </w:r>
      <w:r w:rsidRPr="00377792">
        <w:rPr>
          <w:szCs w:val="24"/>
        </w:rPr>
        <w:t xml:space="preserve"> over the installed base. </w:t>
      </w:r>
      <w:r>
        <w:rPr>
          <w:szCs w:val="24"/>
        </w:rPr>
        <w:t>Additionally</w:t>
      </w:r>
      <w:r w:rsidRPr="00377792">
        <w:rPr>
          <w:szCs w:val="24"/>
        </w:rPr>
        <w:t>, depending on size, upgrading to new ENERGY STAR</w:t>
      </w:r>
      <w:r w:rsidR="005D7DF4" w:rsidRPr="00673B1B">
        <w:rPr>
          <w:rFonts w:cs="Times New Roman"/>
          <w:vertAlign w:val="superscript"/>
        </w:rPr>
        <w:t>®</w:t>
      </w:r>
      <w:r w:rsidRPr="00377792">
        <w:rPr>
          <w:szCs w:val="24"/>
        </w:rPr>
        <w:t xml:space="preserve"> Most Efficient TVs could offer 38% savings in UEC when compared to standard new TV models</w:t>
      </w:r>
      <w:r>
        <w:rPr>
          <w:szCs w:val="24"/>
        </w:rPr>
        <w:t xml:space="preserve"> (Section </w:t>
      </w:r>
      <w:r>
        <w:rPr>
          <w:szCs w:val="24"/>
        </w:rPr>
        <w:fldChar w:fldCharType="begin"/>
      </w:r>
      <w:r>
        <w:rPr>
          <w:szCs w:val="24"/>
        </w:rPr>
        <w:instrText xml:space="preserve"> REF _Ref398899880 \r \h </w:instrText>
      </w:r>
      <w:r>
        <w:rPr>
          <w:szCs w:val="24"/>
        </w:rPr>
      </w:r>
      <w:r>
        <w:rPr>
          <w:szCs w:val="24"/>
        </w:rPr>
        <w:fldChar w:fldCharType="separate"/>
      </w:r>
      <w:r w:rsidR="00302A02">
        <w:rPr>
          <w:szCs w:val="24"/>
        </w:rPr>
        <w:t>3.2</w:t>
      </w:r>
      <w:r>
        <w:rPr>
          <w:szCs w:val="24"/>
        </w:rPr>
        <w:fldChar w:fldCharType="end"/>
      </w:r>
      <w:r>
        <w:rPr>
          <w:szCs w:val="24"/>
        </w:rPr>
        <w:t>)</w:t>
      </w:r>
      <w:r w:rsidRPr="00377792">
        <w:rPr>
          <w:szCs w:val="24"/>
        </w:rPr>
        <w:t xml:space="preserve">. </w:t>
      </w:r>
      <w:r>
        <w:rPr>
          <w:szCs w:val="24"/>
        </w:rPr>
        <w:t xml:space="preserve">If the </w:t>
      </w:r>
      <w:r w:rsidRPr="00377792">
        <w:rPr>
          <w:szCs w:val="24"/>
        </w:rPr>
        <w:t>EEB</w:t>
      </w:r>
      <w:r>
        <w:rPr>
          <w:szCs w:val="24"/>
        </w:rPr>
        <w:t xml:space="preserve"> wishes to address TVs through a consumer electronics program, it might consider</w:t>
      </w:r>
      <w:r w:rsidRPr="00377792">
        <w:rPr>
          <w:szCs w:val="24"/>
        </w:rPr>
        <w:t xml:space="preserve"> offering TV recycling programs and incentives based on labels and recognition programs directed at end-users, retailers, and distributors.</w:t>
      </w:r>
      <w:r>
        <w:rPr>
          <w:szCs w:val="24"/>
        </w:rPr>
        <w:t xml:space="preserve"> Because of high ENERGY STAR market penetration (Section </w:t>
      </w:r>
      <w:r>
        <w:rPr>
          <w:szCs w:val="24"/>
        </w:rPr>
        <w:fldChar w:fldCharType="begin"/>
      </w:r>
      <w:r>
        <w:rPr>
          <w:szCs w:val="24"/>
        </w:rPr>
        <w:instrText xml:space="preserve"> REF _Ref396908908 \r \h </w:instrText>
      </w:r>
      <w:r>
        <w:rPr>
          <w:szCs w:val="24"/>
        </w:rPr>
      </w:r>
      <w:r>
        <w:rPr>
          <w:szCs w:val="24"/>
        </w:rPr>
        <w:fldChar w:fldCharType="separate"/>
      </w:r>
      <w:r w:rsidR="00302A02">
        <w:rPr>
          <w:szCs w:val="24"/>
        </w:rPr>
        <w:t>2.3</w:t>
      </w:r>
      <w:r>
        <w:rPr>
          <w:szCs w:val="24"/>
        </w:rPr>
        <w:fldChar w:fldCharType="end"/>
      </w:r>
      <w:r>
        <w:rPr>
          <w:szCs w:val="24"/>
        </w:rPr>
        <w:t xml:space="preserve">), it may be preferable that </w:t>
      </w:r>
      <w:r w:rsidRPr="00180712">
        <w:rPr>
          <w:szCs w:val="24"/>
        </w:rPr>
        <w:t xml:space="preserve">models </w:t>
      </w:r>
      <w:r>
        <w:rPr>
          <w:szCs w:val="24"/>
        </w:rPr>
        <w:t xml:space="preserve">eligible for program incentives </w:t>
      </w:r>
      <w:r w:rsidRPr="00180712">
        <w:rPr>
          <w:szCs w:val="24"/>
        </w:rPr>
        <w:t>meet efficiency levels greater than ENERGY STAR’s minimum specifications</w:t>
      </w:r>
      <w:r>
        <w:rPr>
          <w:szCs w:val="24"/>
        </w:rPr>
        <w:t xml:space="preserve"> or</w:t>
      </w:r>
      <w:r w:rsidRPr="00180712">
        <w:rPr>
          <w:szCs w:val="24"/>
        </w:rPr>
        <w:t xml:space="preserve"> </w:t>
      </w:r>
      <w:r w:rsidRPr="00180712">
        <w:rPr>
          <w:szCs w:val="24"/>
        </w:rPr>
        <w:lastRenderedPageBreak/>
        <w:t xml:space="preserve">leverage ENERGY </w:t>
      </w:r>
      <w:r w:rsidRPr="005249B7">
        <w:rPr>
          <w:szCs w:val="24"/>
        </w:rPr>
        <w:t>STAR’s Most Efficient list</w:t>
      </w:r>
      <w:r w:rsidR="000331B7">
        <w:rPr>
          <w:szCs w:val="24"/>
        </w:rPr>
        <w:t>,</w:t>
      </w:r>
      <w:r w:rsidRPr="005249B7">
        <w:rPr>
          <w:szCs w:val="24"/>
        </w:rPr>
        <w:t xml:space="preserve"> </w:t>
      </w:r>
      <w:r w:rsidR="000331B7">
        <w:rPr>
          <w:szCs w:val="24"/>
        </w:rPr>
        <w:t xml:space="preserve">which </w:t>
      </w:r>
      <w:r>
        <w:rPr>
          <w:szCs w:val="24"/>
        </w:rPr>
        <w:t>recogniz</w:t>
      </w:r>
      <w:r w:rsidR="000331B7">
        <w:rPr>
          <w:szCs w:val="24"/>
        </w:rPr>
        <w:t>e</w:t>
      </w:r>
      <w:r w:rsidR="005D7DF4">
        <w:rPr>
          <w:szCs w:val="24"/>
        </w:rPr>
        <w:t>s</w:t>
      </w:r>
      <w:r>
        <w:rPr>
          <w:szCs w:val="24"/>
        </w:rPr>
        <w:t xml:space="preserve"> the highest efficiency</w:t>
      </w:r>
      <w:r w:rsidRPr="005249B7">
        <w:rPr>
          <w:szCs w:val="24"/>
        </w:rPr>
        <w:t xml:space="preserve"> TVs</w:t>
      </w:r>
      <w:r>
        <w:rPr>
          <w:szCs w:val="24"/>
        </w:rPr>
        <w:t>.</w:t>
      </w:r>
    </w:p>
    <w:p w14:paraId="30FB7D2F" w14:textId="7B7C982D" w:rsidR="0001568B" w:rsidRPr="000331B7" w:rsidRDefault="0001568B" w:rsidP="0001568B">
      <w:pPr>
        <w:pStyle w:val="ListParagraph"/>
        <w:numPr>
          <w:ilvl w:val="0"/>
          <w:numId w:val="35"/>
        </w:numPr>
        <w:rPr>
          <w:szCs w:val="24"/>
        </w:rPr>
      </w:pPr>
      <w:r w:rsidRPr="000331B7">
        <w:rPr>
          <w:b/>
        </w:rPr>
        <w:t>Set</w:t>
      </w:r>
      <w:r w:rsidR="000331B7" w:rsidRPr="000331B7">
        <w:rPr>
          <w:b/>
        </w:rPr>
        <w:t>-</w:t>
      </w:r>
      <w:r w:rsidRPr="000331B7">
        <w:rPr>
          <w:b/>
        </w:rPr>
        <w:t>top boxes (STBs).</w:t>
      </w:r>
      <w:r w:rsidRPr="00377792">
        <w:t xml:space="preserve"> </w:t>
      </w:r>
      <w:r w:rsidR="00BB274F">
        <w:t xml:space="preserve">The following </w:t>
      </w:r>
      <w:r w:rsidR="00BB274F">
        <w:rPr>
          <w:szCs w:val="24"/>
        </w:rPr>
        <w:t>t</w:t>
      </w:r>
      <w:r w:rsidRPr="000331B7">
        <w:rPr>
          <w:szCs w:val="24"/>
        </w:rPr>
        <w:t>wo measures for reducing STB energy consumption st</w:t>
      </w:r>
      <w:r w:rsidR="000C7619">
        <w:rPr>
          <w:szCs w:val="24"/>
        </w:rPr>
        <w:t>an</w:t>
      </w:r>
      <w:r w:rsidRPr="000331B7">
        <w:rPr>
          <w:szCs w:val="24"/>
        </w:rPr>
        <w:t xml:space="preserve">d out as potential near-term measures that do not require partnerships with groups like manufacturers or media service providers and appear realistic to implement: 1) </w:t>
      </w:r>
      <w:r w:rsidR="00EB254A">
        <w:rPr>
          <w:szCs w:val="24"/>
        </w:rPr>
        <w:t>R</w:t>
      </w:r>
      <w:r w:rsidRPr="000331B7">
        <w:rPr>
          <w:szCs w:val="24"/>
        </w:rPr>
        <w:t xml:space="preserve">econfiguring high-consuming multi-room STB configurations by replacing the non-primary devices with low-power thin-client devices </w:t>
      </w:r>
      <w:r w:rsidR="00EB254A">
        <w:rPr>
          <w:szCs w:val="24"/>
        </w:rPr>
        <w:t>that have</w:t>
      </w:r>
      <w:r w:rsidRPr="000331B7">
        <w:rPr>
          <w:szCs w:val="24"/>
        </w:rPr>
        <w:t xml:space="preserve"> the same functionality could potentially reduce annual UEC of those non-primary units by 52%</w:t>
      </w:r>
      <w:r w:rsidR="00BB274F">
        <w:rPr>
          <w:szCs w:val="24"/>
        </w:rPr>
        <w:t>;</w:t>
      </w:r>
      <w:r w:rsidRPr="000331B7">
        <w:rPr>
          <w:szCs w:val="24"/>
        </w:rPr>
        <w:t xml:space="preserve"> 2) </w:t>
      </w:r>
      <w:r w:rsidR="00EB254A">
        <w:rPr>
          <w:szCs w:val="24"/>
        </w:rPr>
        <w:t>S</w:t>
      </w:r>
      <w:r w:rsidRPr="000331B7">
        <w:rPr>
          <w:szCs w:val="24"/>
        </w:rPr>
        <w:t xml:space="preserve">electing ENERGY STAR models could offer savings of 45% over standard models (Section </w:t>
      </w:r>
      <w:r w:rsidRPr="000331B7">
        <w:rPr>
          <w:szCs w:val="24"/>
        </w:rPr>
        <w:fldChar w:fldCharType="begin"/>
      </w:r>
      <w:r w:rsidRPr="000331B7">
        <w:rPr>
          <w:szCs w:val="24"/>
        </w:rPr>
        <w:instrText xml:space="preserve"> REF _Ref399067832 \r \h </w:instrText>
      </w:r>
      <w:r w:rsidRPr="000331B7">
        <w:rPr>
          <w:szCs w:val="24"/>
        </w:rPr>
      </w:r>
      <w:r w:rsidRPr="000331B7">
        <w:rPr>
          <w:szCs w:val="24"/>
        </w:rPr>
        <w:fldChar w:fldCharType="separate"/>
      </w:r>
      <w:r w:rsidR="00302A02">
        <w:rPr>
          <w:szCs w:val="24"/>
        </w:rPr>
        <w:t>3.3</w:t>
      </w:r>
      <w:r w:rsidRPr="000331B7">
        <w:rPr>
          <w:szCs w:val="24"/>
        </w:rPr>
        <w:fldChar w:fldCharType="end"/>
      </w:r>
      <w:r w:rsidRPr="000331B7">
        <w:rPr>
          <w:szCs w:val="24"/>
        </w:rPr>
        <w:t>).</w:t>
      </w:r>
      <w:r w:rsidR="000331B7">
        <w:rPr>
          <w:szCs w:val="24"/>
        </w:rPr>
        <w:t xml:space="preserve"> </w:t>
      </w:r>
      <w:r w:rsidRPr="000331B7">
        <w:rPr>
          <w:szCs w:val="24"/>
        </w:rPr>
        <w:t>NMR concludes that addressing STBs through end-user incentives</w:t>
      </w:r>
      <w:r w:rsidR="000702A4">
        <w:rPr>
          <w:szCs w:val="24"/>
        </w:rPr>
        <w:t>, however,</w:t>
      </w:r>
      <w:r w:rsidRPr="000331B7">
        <w:rPr>
          <w:szCs w:val="24"/>
        </w:rPr>
        <w:t xml:space="preserve"> may be inappropriate due to certain market dynamics</w:t>
      </w:r>
      <w:r w:rsidR="00165EE6">
        <w:rPr>
          <w:szCs w:val="24"/>
        </w:rPr>
        <w:t>.</w:t>
      </w:r>
      <w:r w:rsidRPr="000331B7">
        <w:rPr>
          <w:szCs w:val="24"/>
        </w:rPr>
        <w:t xml:space="preserve"> First, on top of already high ENERGY STAR market penetration, an important voluntary agreement signed by media service providers will likely result in even higher market penetration of ENERGY STAR models (Section </w:t>
      </w:r>
      <w:r w:rsidRPr="000331B7">
        <w:rPr>
          <w:szCs w:val="24"/>
        </w:rPr>
        <w:fldChar w:fldCharType="begin"/>
      </w:r>
      <w:r w:rsidRPr="000331B7">
        <w:rPr>
          <w:szCs w:val="24"/>
        </w:rPr>
        <w:instrText xml:space="preserve"> REF _Ref396908908 \r \h </w:instrText>
      </w:r>
      <w:r w:rsidRPr="000331B7">
        <w:rPr>
          <w:szCs w:val="24"/>
        </w:rPr>
      </w:r>
      <w:r w:rsidRPr="000331B7">
        <w:rPr>
          <w:szCs w:val="24"/>
        </w:rPr>
        <w:fldChar w:fldCharType="separate"/>
      </w:r>
      <w:r w:rsidR="00302A02">
        <w:rPr>
          <w:szCs w:val="24"/>
        </w:rPr>
        <w:t>2.3</w:t>
      </w:r>
      <w:r w:rsidRPr="000331B7">
        <w:rPr>
          <w:szCs w:val="24"/>
        </w:rPr>
        <w:fldChar w:fldCharType="end"/>
      </w:r>
      <w:r w:rsidRPr="000331B7">
        <w:rPr>
          <w:szCs w:val="24"/>
        </w:rPr>
        <w:t>)</w:t>
      </w:r>
      <w:r w:rsidR="00165EE6">
        <w:rPr>
          <w:szCs w:val="24"/>
        </w:rPr>
        <w:t>.</w:t>
      </w:r>
      <w:r w:rsidRPr="000331B7">
        <w:rPr>
          <w:szCs w:val="24"/>
        </w:rPr>
        <w:t xml:space="preserve"> </w:t>
      </w:r>
      <w:r w:rsidR="00165EE6">
        <w:rPr>
          <w:szCs w:val="24"/>
        </w:rPr>
        <w:t>S</w:t>
      </w:r>
      <w:r w:rsidRPr="000331B7">
        <w:rPr>
          <w:szCs w:val="24"/>
        </w:rPr>
        <w:t>econd, consumers may not be able to opt for energy</w:t>
      </w:r>
      <w:r w:rsidR="00165EE6">
        <w:rPr>
          <w:szCs w:val="24"/>
        </w:rPr>
        <w:t>-</w:t>
      </w:r>
      <w:r w:rsidRPr="000331B7">
        <w:rPr>
          <w:szCs w:val="24"/>
        </w:rPr>
        <w:t xml:space="preserve">efficient STB models or engage in energy savings behaviors </w:t>
      </w:r>
      <w:r w:rsidR="00165EE6">
        <w:rPr>
          <w:szCs w:val="24"/>
        </w:rPr>
        <w:t>due to</w:t>
      </w:r>
      <w:r w:rsidRPr="000331B7">
        <w:rPr>
          <w:szCs w:val="24"/>
        </w:rPr>
        <w:t xml:space="preserve"> the level of control that media service providers have over STB model selection and time spent in off modes (Section </w:t>
      </w:r>
      <w:r w:rsidRPr="000331B7">
        <w:rPr>
          <w:szCs w:val="24"/>
        </w:rPr>
        <w:fldChar w:fldCharType="begin"/>
      </w:r>
      <w:r w:rsidRPr="000331B7">
        <w:rPr>
          <w:szCs w:val="24"/>
        </w:rPr>
        <w:instrText xml:space="preserve"> REF _Ref399069010 \r \h </w:instrText>
      </w:r>
      <w:r w:rsidRPr="000331B7">
        <w:rPr>
          <w:szCs w:val="24"/>
        </w:rPr>
      </w:r>
      <w:r w:rsidRPr="000331B7">
        <w:rPr>
          <w:szCs w:val="24"/>
        </w:rPr>
        <w:fldChar w:fldCharType="separate"/>
      </w:r>
      <w:r w:rsidR="00302A02">
        <w:rPr>
          <w:szCs w:val="24"/>
        </w:rPr>
        <w:t>4.2</w:t>
      </w:r>
      <w:r w:rsidRPr="000331B7">
        <w:rPr>
          <w:szCs w:val="24"/>
        </w:rPr>
        <w:fldChar w:fldCharType="end"/>
      </w:r>
      <w:r w:rsidRPr="000331B7">
        <w:rPr>
          <w:szCs w:val="24"/>
        </w:rPr>
        <w:t xml:space="preserve">). </w:t>
      </w:r>
    </w:p>
    <w:p w14:paraId="3AFE40F4" w14:textId="77777777" w:rsidR="0001568B" w:rsidRPr="00A35016" w:rsidRDefault="0001568B" w:rsidP="0001568B">
      <w:pPr>
        <w:pStyle w:val="ListParagraph"/>
        <w:numPr>
          <w:ilvl w:val="0"/>
          <w:numId w:val="35"/>
        </w:numPr>
        <w:rPr>
          <w:szCs w:val="24"/>
        </w:rPr>
      </w:pPr>
      <w:r w:rsidRPr="00A35016">
        <w:rPr>
          <w:b/>
        </w:rPr>
        <w:t>Personal Computers</w:t>
      </w:r>
      <w:r>
        <w:rPr>
          <w:b/>
        </w:rPr>
        <w:t xml:space="preserve"> (PCs)</w:t>
      </w:r>
      <w:r w:rsidRPr="00A35016">
        <w:rPr>
          <w:b/>
        </w:rPr>
        <w:t xml:space="preserve">. </w:t>
      </w:r>
      <w:r w:rsidRPr="00377792">
        <w:t>NMR found that o</w:t>
      </w:r>
      <w:r w:rsidRPr="00A35016">
        <w:rPr>
          <w:szCs w:val="24"/>
        </w:rPr>
        <w:t>ptimizing power management settings for the installed base of desktop PCs could possibly result in savings of 144</w:t>
      </w:r>
      <w:r w:rsidR="00172CF3">
        <w:rPr>
          <w:szCs w:val="24"/>
        </w:rPr>
        <w:t xml:space="preserve"> </w:t>
      </w:r>
      <w:r w:rsidRPr="00A35016">
        <w:rPr>
          <w:szCs w:val="24"/>
        </w:rPr>
        <w:t>kWh/year among installed desktop PCs</w:t>
      </w:r>
      <w:r>
        <w:rPr>
          <w:szCs w:val="24"/>
        </w:rPr>
        <w:t xml:space="preserve"> (Section </w:t>
      </w:r>
      <w:r>
        <w:rPr>
          <w:szCs w:val="24"/>
        </w:rPr>
        <w:fldChar w:fldCharType="begin"/>
      </w:r>
      <w:r>
        <w:rPr>
          <w:szCs w:val="24"/>
        </w:rPr>
        <w:instrText xml:space="preserve"> REF _Ref398977975 \r \h </w:instrText>
      </w:r>
      <w:r>
        <w:rPr>
          <w:szCs w:val="24"/>
        </w:rPr>
      </w:r>
      <w:r>
        <w:rPr>
          <w:szCs w:val="24"/>
        </w:rPr>
        <w:fldChar w:fldCharType="separate"/>
      </w:r>
      <w:r w:rsidR="00302A02">
        <w:rPr>
          <w:szCs w:val="24"/>
        </w:rPr>
        <w:t>3.4</w:t>
      </w:r>
      <w:r>
        <w:rPr>
          <w:szCs w:val="24"/>
        </w:rPr>
        <w:fldChar w:fldCharType="end"/>
      </w:r>
      <w:r>
        <w:rPr>
          <w:szCs w:val="24"/>
        </w:rPr>
        <w:t>)</w:t>
      </w:r>
      <w:r w:rsidRPr="00A35016">
        <w:rPr>
          <w:szCs w:val="24"/>
        </w:rPr>
        <w:t xml:space="preserve"> and</w:t>
      </w:r>
      <w:r w:rsidR="007016EA">
        <w:rPr>
          <w:szCs w:val="24"/>
        </w:rPr>
        <w:t>,</w:t>
      </w:r>
      <w:r w:rsidRPr="00A35016">
        <w:rPr>
          <w:szCs w:val="24"/>
        </w:rPr>
        <w:t xml:space="preserve"> if successfully implemented, it could have the technical potential to save 43.4</w:t>
      </w:r>
      <w:r w:rsidR="00172CF3">
        <w:rPr>
          <w:szCs w:val="24"/>
        </w:rPr>
        <w:t xml:space="preserve"> </w:t>
      </w:r>
      <w:r w:rsidRPr="00A35016">
        <w:rPr>
          <w:szCs w:val="24"/>
        </w:rPr>
        <w:t>GWh/year in Connecticut as a whole</w:t>
      </w:r>
      <w:r>
        <w:rPr>
          <w:szCs w:val="24"/>
        </w:rPr>
        <w:t xml:space="preserve"> (Section</w:t>
      </w:r>
      <w:r w:rsidR="006C5A8A">
        <w:rPr>
          <w:szCs w:val="24"/>
        </w:rPr>
        <w:t xml:space="preserve"> </w:t>
      </w:r>
      <w:r w:rsidR="006C5A8A">
        <w:rPr>
          <w:szCs w:val="24"/>
        </w:rPr>
        <w:fldChar w:fldCharType="begin"/>
      </w:r>
      <w:r w:rsidR="006C5A8A">
        <w:rPr>
          <w:szCs w:val="24"/>
        </w:rPr>
        <w:instrText xml:space="preserve"> REF _Ref400007975 \r \h </w:instrText>
      </w:r>
      <w:r w:rsidR="006C5A8A">
        <w:rPr>
          <w:szCs w:val="24"/>
        </w:rPr>
      </w:r>
      <w:r w:rsidR="006C5A8A">
        <w:rPr>
          <w:szCs w:val="24"/>
        </w:rPr>
        <w:fldChar w:fldCharType="separate"/>
      </w:r>
      <w:r w:rsidR="00302A02">
        <w:rPr>
          <w:szCs w:val="24"/>
        </w:rPr>
        <w:t>4.3</w:t>
      </w:r>
      <w:r w:rsidR="006C5A8A">
        <w:rPr>
          <w:szCs w:val="24"/>
        </w:rPr>
        <w:fldChar w:fldCharType="end"/>
      </w:r>
      <w:r>
        <w:rPr>
          <w:szCs w:val="24"/>
        </w:rPr>
        <w:t>)</w:t>
      </w:r>
      <w:r w:rsidRPr="00A35016">
        <w:rPr>
          <w:szCs w:val="24"/>
        </w:rPr>
        <w:t xml:space="preserve">. </w:t>
      </w:r>
      <w:r>
        <w:rPr>
          <w:szCs w:val="24"/>
        </w:rPr>
        <w:t>If the EEB were to use this intervention</w:t>
      </w:r>
      <w:r w:rsidR="007016EA">
        <w:rPr>
          <w:szCs w:val="24"/>
        </w:rPr>
        <w:t>,</w:t>
      </w:r>
      <w:r>
        <w:rPr>
          <w:szCs w:val="24"/>
        </w:rPr>
        <w:t xml:space="preserve"> it might like to use</w:t>
      </w:r>
      <w:r w:rsidRPr="00A35016">
        <w:rPr>
          <w:szCs w:val="24"/>
        </w:rPr>
        <w:t xml:space="preserve"> consumer</w:t>
      </w:r>
      <w:r>
        <w:rPr>
          <w:szCs w:val="24"/>
        </w:rPr>
        <w:t xml:space="preserve"> education campaign</w:t>
      </w:r>
      <w:r w:rsidRPr="00A35016">
        <w:rPr>
          <w:szCs w:val="24"/>
        </w:rPr>
        <w:t xml:space="preserve">s on optimizing power management and/or </w:t>
      </w:r>
      <w:r>
        <w:rPr>
          <w:szCs w:val="24"/>
        </w:rPr>
        <w:t xml:space="preserve">use </w:t>
      </w:r>
      <w:r w:rsidRPr="00A35016">
        <w:rPr>
          <w:szCs w:val="24"/>
        </w:rPr>
        <w:t>direct</w:t>
      </w:r>
      <w:r w:rsidR="00172CF3">
        <w:rPr>
          <w:szCs w:val="24"/>
        </w:rPr>
        <w:t>-</w:t>
      </w:r>
      <w:r w:rsidRPr="00A35016">
        <w:rPr>
          <w:szCs w:val="24"/>
        </w:rPr>
        <w:t>installation efforts, perhaps as part of a home energy audit visit for another program. However, some factors, such as decreasing desktop PC sales and increasing efficiency of laptop PCs,</w:t>
      </w:r>
      <w:r>
        <w:rPr>
          <w:szCs w:val="24"/>
        </w:rPr>
        <w:t xml:space="preserve"> could present diminishing opportunities </w:t>
      </w:r>
      <w:r w:rsidRPr="00A35016">
        <w:rPr>
          <w:szCs w:val="24"/>
        </w:rPr>
        <w:t xml:space="preserve">to claiming sizable program savings and achieving adequate participation rates for </w:t>
      </w:r>
      <w:r>
        <w:rPr>
          <w:szCs w:val="24"/>
        </w:rPr>
        <w:t xml:space="preserve">a </w:t>
      </w:r>
      <w:r w:rsidRPr="00A35016">
        <w:rPr>
          <w:szCs w:val="24"/>
        </w:rPr>
        <w:t>PC program</w:t>
      </w:r>
      <w:r>
        <w:rPr>
          <w:szCs w:val="24"/>
        </w:rPr>
        <w:t xml:space="preserve"> (Section </w:t>
      </w:r>
      <w:r>
        <w:rPr>
          <w:szCs w:val="24"/>
        </w:rPr>
        <w:fldChar w:fldCharType="begin"/>
      </w:r>
      <w:r>
        <w:rPr>
          <w:szCs w:val="24"/>
        </w:rPr>
        <w:instrText xml:space="preserve"> REF _Ref399069010 \r \h </w:instrText>
      </w:r>
      <w:r>
        <w:rPr>
          <w:szCs w:val="24"/>
        </w:rPr>
      </w:r>
      <w:r>
        <w:rPr>
          <w:szCs w:val="24"/>
        </w:rPr>
        <w:fldChar w:fldCharType="separate"/>
      </w:r>
      <w:r w:rsidR="00302A02">
        <w:rPr>
          <w:szCs w:val="24"/>
        </w:rPr>
        <w:t>4.2</w:t>
      </w:r>
      <w:r>
        <w:rPr>
          <w:szCs w:val="24"/>
        </w:rPr>
        <w:fldChar w:fldCharType="end"/>
      </w:r>
      <w:r>
        <w:rPr>
          <w:szCs w:val="24"/>
        </w:rPr>
        <w:t>)</w:t>
      </w:r>
      <w:r w:rsidRPr="00A35016">
        <w:rPr>
          <w:szCs w:val="24"/>
        </w:rPr>
        <w:t xml:space="preserve">.  </w:t>
      </w:r>
    </w:p>
    <w:p w14:paraId="470E920E" w14:textId="77777777" w:rsidR="0001568B" w:rsidRDefault="0001568B" w:rsidP="0001568B">
      <w:pPr>
        <w:pStyle w:val="ListParagraph"/>
        <w:numPr>
          <w:ilvl w:val="0"/>
          <w:numId w:val="35"/>
        </w:numPr>
        <w:rPr>
          <w:szCs w:val="24"/>
        </w:rPr>
      </w:pPr>
      <w:r w:rsidRPr="00563E7A">
        <w:rPr>
          <w:b/>
        </w:rPr>
        <w:t>Network Equipment.</w:t>
      </w:r>
      <w:r w:rsidRPr="00563E7A">
        <w:t xml:space="preserve"> Replacing the installed base of network equipment with high </w:t>
      </w:r>
      <w:r>
        <w:t xml:space="preserve">efficiency </w:t>
      </w:r>
      <w:r w:rsidRPr="00563E7A">
        <w:t>equipment may generate notable savings (34%)</w:t>
      </w:r>
      <w:r>
        <w:t xml:space="preserve"> (Section </w:t>
      </w:r>
      <w:r>
        <w:fldChar w:fldCharType="begin"/>
      </w:r>
      <w:r>
        <w:instrText xml:space="preserve"> REF _Ref399765064 \r \h </w:instrText>
      </w:r>
      <w:r>
        <w:fldChar w:fldCharType="separate"/>
      </w:r>
      <w:r w:rsidR="00302A02">
        <w:t>3.5</w:t>
      </w:r>
      <w:r>
        <w:fldChar w:fldCharType="end"/>
      </w:r>
      <w:r>
        <w:t>)</w:t>
      </w:r>
      <w:r w:rsidRPr="00563E7A">
        <w:t>.</w:t>
      </w:r>
      <w:r w:rsidRPr="00563E7A">
        <w:rPr>
          <w:szCs w:val="24"/>
        </w:rPr>
        <w:t xml:space="preserve"> Running equipment recycling opportunities and offering incentives based on </w:t>
      </w:r>
      <w:r>
        <w:rPr>
          <w:szCs w:val="24"/>
        </w:rPr>
        <w:t>labeling</w:t>
      </w:r>
      <w:r w:rsidRPr="00563E7A">
        <w:rPr>
          <w:szCs w:val="24"/>
        </w:rPr>
        <w:t xml:space="preserve"> and recognition programs directed at end-users, retailers, and distributors could facilitate implementing this measure. Additional research characterizing common configurations and household usage patterns would offer further insight into savings opportunities at the household and state</w:t>
      </w:r>
      <w:r w:rsidR="003662B2">
        <w:rPr>
          <w:szCs w:val="24"/>
        </w:rPr>
        <w:t xml:space="preserve"> levels</w:t>
      </w:r>
      <w:r w:rsidRPr="00563E7A">
        <w:rPr>
          <w:szCs w:val="24"/>
        </w:rPr>
        <w:t>; further research on network equipment market trends would also be essential.</w:t>
      </w:r>
    </w:p>
    <w:p w14:paraId="1505EC85" w14:textId="77777777" w:rsidR="0001568B" w:rsidRPr="005249B7" w:rsidRDefault="0001568B" w:rsidP="0001568B">
      <w:pPr>
        <w:pStyle w:val="ListParagraph"/>
        <w:numPr>
          <w:ilvl w:val="0"/>
          <w:numId w:val="35"/>
        </w:numPr>
        <w:rPr>
          <w:rFonts w:ascii="Arial" w:eastAsiaTheme="majorEastAsia" w:hAnsi="Arial" w:cstheme="majorBidi"/>
          <w:b/>
          <w:bCs/>
        </w:rPr>
      </w:pPr>
      <w:r>
        <w:rPr>
          <w:b/>
        </w:rPr>
        <w:t xml:space="preserve">Video </w:t>
      </w:r>
      <w:r w:rsidRPr="005249B7">
        <w:rPr>
          <w:b/>
        </w:rPr>
        <w:t>Game Consoles</w:t>
      </w:r>
      <w:r>
        <w:rPr>
          <w:b/>
        </w:rPr>
        <w:t xml:space="preserve"> (Game Consoles)</w:t>
      </w:r>
      <w:r w:rsidRPr="005249B7">
        <w:rPr>
          <w:b/>
        </w:rPr>
        <w:t>.</w:t>
      </w:r>
      <w:r>
        <w:t xml:space="preserve"> </w:t>
      </w:r>
      <w:r w:rsidRPr="005249B7">
        <w:rPr>
          <w:szCs w:val="24"/>
        </w:rPr>
        <w:t xml:space="preserve">NMR </w:t>
      </w:r>
      <w:r w:rsidR="003E2959">
        <w:rPr>
          <w:szCs w:val="24"/>
        </w:rPr>
        <w:t>advise</w:t>
      </w:r>
      <w:r w:rsidR="001C27E3">
        <w:rPr>
          <w:szCs w:val="24"/>
        </w:rPr>
        <w:t>s</w:t>
      </w:r>
      <w:r w:rsidR="003E2959">
        <w:rPr>
          <w:szCs w:val="24"/>
        </w:rPr>
        <w:t xml:space="preserve"> </w:t>
      </w:r>
      <w:r w:rsidRPr="005249B7">
        <w:rPr>
          <w:szCs w:val="24"/>
        </w:rPr>
        <w:t>against offering incentives for the purchase and sale of energy</w:t>
      </w:r>
      <w:r w:rsidR="003662B2">
        <w:rPr>
          <w:szCs w:val="24"/>
        </w:rPr>
        <w:t>-</w:t>
      </w:r>
      <w:r w:rsidRPr="005249B7">
        <w:rPr>
          <w:szCs w:val="24"/>
        </w:rPr>
        <w:t>efficient</w:t>
      </w:r>
      <w:r>
        <w:rPr>
          <w:szCs w:val="24"/>
        </w:rPr>
        <w:t xml:space="preserve"> models of</w:t>
      </w:r>
      <w:r w:rsidRPr="005249B7">
        <w:rPr>
          <w:szCs w:val="24"/>
        </w:rPr>
        <w:t xml:space="preserve"> game console</w:t>
      </w:r>
      <w:r>
        <w:rPr>
          <w:szCs w:val="24"/>
        </w:rPr>
        <w:t>s</w:t>
      </w:r>
      <w:r w:rsidRPr="005249B7">
        <w:rPr>
          <w:szCs w:val="24"/>
        </w:rPr>
        <w:t xml:space="preserve">. Program efforts targeting game consoles </w:t>
      </w:r>
      <w:r>
        <w:rPr>
          <w:szCs w:val="24"/>
        </w:rPr>
        <w:t xml:space="preserve">may </w:t>
      </w:r>
      <w:r w:rsidRPr="005249B7">
        <w:rPr>
          <w:szCs w:val="24"/>
        </w:rPr>
        <w:t>quickly becom</w:t>
      </w:r>
      <w:r w:rsidR="003662B2">
        <w:rPr>
          <w:szCs w:val="24"/>
        </w:rPr>
        <w:t>e</w:t>
      </w:r>
      <w:r w:rsidRPr="005249B7">
        <w:rPr>
          <w:szCs w:val="24"/>
        </w:rPr>
        <w:t xml:space="preserve"> </w:t>
      </w:r>
      <w:r>
        <w:rPr>
          <w:szCs w:val="24"/>
        </w:rPr>
        <w:t>obsolete</w:t>
      </w:r>
      <w:r w:rsidR="003662B2">
        <w:rPr>
          <w:szCs w:val="24"/>
        </w:rPr>
        <w:t>, in part because</w:t>
      </w:r>
      <w:r w:rsidRPr="005249B7">
        <w:rPr>
          <w:szCs w:val="24"/>
        </w:rPr>
        <w:t xml:space="preserve"> there are few game console models and manufacturers</w:t>
      </w:r>
      <w:r>
        <w:rPr>
          <w:szCs w:val="24"/>
        </w:rPr>
        <w:t>;</w:t>
      </w:r>
      <w:r w:rsidRPr="005249B7">
        <w:rPr>
          <w:szCs w:val="24"/>
        </w:rPr>
        <w:t xml:space="preserve"> even if one manufacturer increases the efficiency of </w:t>
      </w:r>
      <w:r w:rsidR="003662B2">
        <w:rPr>
          <w:szCs w:val="24"/>
        </w:rPr>
        <w:t>its</w:t>
      </w:r>
      <w:r w:rsidRPr="005249B7">
        <w:rPr>
          <w:szCs w:val="24"/>
        </w:rPr>
        <w:t xml:space="preserve"> only model, program efforts to incentivize the purchase of energy</w:t>
      </w:r>
      <w:r w:rsidR="003662B2">
        <w:rPr>
          <w:szCs w:val="24"/>
        </w:rPr>
        <w:t>-</w:t>
      </w:r>
      <w:r w:rsidRPr="005249B7">
        <w:rPr>
          <w:szCs w:val="24"/>
        </w:rPr>
        <w:lastRenderedPageBreak/>
        <w:t xml:space="preserve">efficient models </w:t>
      </w:r>
      <w:r>
        <w:rPr>
          <w:szCs w:val="24"/>
        </w:rPr>
        <w:t>could</w:t>
      </w:r>
      <w:r w:rsidRPr="005249B7">
        <w:rPr>
          <w:szCs w:val="24"/>
        </w:rPr>
        <w:t xml:space="preserve"> result in easy free ridership.</w:t>
      </w:r>
      <w:r>
        <w:rPr>
          <w:szCs w:val="24"/>
        </w:rPr>
        <w:t xml:space="preserve"> As a near-term effort, game console efficiency might</w:t>
      </w:r>
      <w:r w:rsidRPr="005249B7">
        <w:rPr>
          <w:szCs w:val="24"/>
        </w:rPr>
        <w:t xml:space="preserve"> be addressed through consumer education campaigns.</w:t>
      </w:r>
      <w:r>
        <w:rPr>
          <w:szCs w:val="24"/>
        </w:rPr>
        <w:t xml:space="preserve"> For example, m</w:t>
      </w:r>
      <w:r w:rsidRPr="005249B7">
        <w:rPr>
          <w:szCs w:val="24"/>
        </w:rPr>
        <w:t>easures to decrease the consumption of game consoles, such as disabling connected standby, could provide saving</w:t>
      </w:r>
      <w:r w:rsidR="003662B2">
        <w:rPr>
          <w:szCs w:val="24"/>
        </w:rPr>
        <w:t>s</w:t>
      </w:r>
      <w:r w:rsidRPr="005249B7">
        <w:rPr>
          <w:szCs w:val="24"/>
        </w:rPr>
        <w:t xml:space="preserve"> of up to 100</w:t>
      </w:r>
      <w:r w:rsidR="003662B2">
        <w:rPr>
          <w:szCs w:val="24"/>
        </w:rPr>
        <w:t xml:space="preserve"> </w:t>
      </w:r>
      <w:r w:rsidRPr="005249B7">
        <w:rPr>
          <w:szCs w:val="24"/>
        </w:rPr>
        <w:t>kWh/year</w:t>
      </w:r>
      <w:r>
        <w:rPr>
          <w:szCs w:val="24"/>
        </w:rPr>
        <w:t xml:space="preserve"> (Section </w:t>
      </w:r>
      <w:r>
        <w:rPr>
          <w:szCs w:val="24"/>
        </w:rPr>
        <w:fldChar w:fldCharType="begin"/>
      </w:r>
      <w:r>
        <w:rPr>
          <w:szCs w:val="24"/>
        </w:rPr>
        <w:instrText xml:space="preserve"> REF _Ref399765081 \r \h </w:instrText>
      </w:r>
      <w:r>
        <w:rPr>
          <w:szCs w:val="24"/>
        </w:rPr>
      </w:r>
      <w:r>
        <w:rPr>
          <w:szCs w:val="24"/>
        </w:rPr>
        <w:fldChar w:fldCharType="separate"/>
      </w:r>
      <w:r w:rsidR="00302A02">
        <w:rPr>
          <w:szCs w:val="24"/>
        </w:rPr>
        <w:t>3.6</w:t>
      </w:r>
      <w:r>
        <w:rPr>
          <w:szCs w:val="24"/>
        </w:rPr>
        <w:fldChar w:fldCharType="end"/>
      </w:r>
      <w:r>
        <w:rPr>
          <w:szCs w:val="24"/>
        </w:rPr>
        <w:t>).</w:t>
      </w:r>
    </w:p>
    <w:p w14:paraId="1F4F5E18" w14:textId="77777777" w:rsidR="0001568B" w:rsidRDefault="0001568B" w:rsidP="0001568B">
      <w:r>
        <w:t>In addition to the measures listed above, it may be worth further exploring the savings opportunities that smart strips could offer for each of these product categories</w:t>
      </w:r>
      <w:r w:rsidR="00824F73">
        <w:t xml:space="preserve">. For instance, </w:t>
      </w:r>
      <w:r>
        <w:t xml:space="preserve">one </w:t>
      </w:r>
      <w:r w:rsidRPr="00A25870">
        <w:rPr>
          <w:szCs w:val="24"/>
        </w:rPr>
        <w:t>study found that households could save 106</w:t>
      </w:r>
      <w:r w:rsidR="003662B2">
        <w:rPr>
          <w:szCs w:val="24"/>
        </w:rPr>
        <w:t xml:space="preserve"> </w:t>
      </w:r>
      <w:r w:rsidRPr="00A25870">
        <w:rPr>
          <w:szCs w:val="24"/>
        </w:rPr>
        <w:t>kWh/year</w:t>
      </w:r>
      <w:r w:rsidR="00824F73">
        <w:rPr>
          <w:szCs w:val="24"/>
        </w:rPr>
        <w:t>,</w:t>
      </w:r>
      <w:r w:rsidRPr="00A25870">
        <w:rPr>
          <w:szCs w:val="24"/>
        </w:rPr>
        <w:t xml:space="preserve"> on average</w:t>
      </w:r>
      <w:r w:rsidR="00824F73">
        <w:rPr>
          <w:szCs w:val="24"/>
        </w:rPr>
        <w:t>,</w:t>
      </w:r>
      <w:r w:rsidRPr="00A25870">
        <w:rPr>
          <w:szCs w:val="24"/>
        </w:rPr>
        <w:t xml:space="preserve"> </w:t>
      </w:r>
      <w:r w:rsidR="00824F73">
        <w:rPr>
          <w:szCs w:val="24"/>
        </w:rPr>
        <w:t>by</w:t>
      </w:r>
      <w:r w:rsidR="00824F73" w:rsidRPr="00A25870">
        <w:rPr>
          <w:szCs w:val="24"/>
        </w:rPr>
        <w:t xml:space="preserve"> </w:t>
      </w:r>
      <w:r w:rsidRPr="00A25870">
        <w:rPr>
          <w:szCs w:val="24"/>
        </w:rPr>
        <w:t>using smart strips with their consumer electronics equipment</w:t>
      </w:r>
      <w:r>
        <w:rPr>
          <w:szCs w:val="24"/>
        </w:rPr>
        <w:t xml:space="preserve"> (Section </w:t>
      </w:r>
      <w:r>
        <w:rPr>
          <w:szCs w:val="24"/>
        </w:rPr>
        <w:fldChar w:fldCharType="begin"/>
      </w:r>
      <w:r>
        <w:rPr>
          <w:szCs w:val="24"/>
        </w:rPr>
        <w:instrText xml:space="preserve"> REF _Ref399765113 \r \h </w:instrText>
      </w:r>
      <w:r>
        <w:rPr>
          <w:szCs w:val="24"/>
        </w:rPr>
      </w:r>
      <w:r>
        <w:rPr>
          <w:szCs w:val="24"/>
        </w:rPr>
        <w:fldChar w:fldCharType="separate"/>
      </w:r>
      <w:r w:rsidR="00302A02">
        <w:rPr>
          <w:szCs w:val="24"/>
        </w:rPr>
        <w:t>3.7</w:t>
      </w:r>
      <w:r>
        <w:rPr>
          <w:szCs w:val="24"/>
        </w:rPr>
        <w:fldChar w:fldCharType="end"/>
      </w:r>
      <w:r>
        <w:rPr>
          <w:szCs w:val="24"/>
        </w:rPr>
        <w:t>)</w:t>
      </w:r>
      <w:r w:rsidRPr="00A25870">
        <w:rPr>
          <w:szCs w:val="24"/>
        </w:rPr>
        <w:t>.</w:t>
      </w:r>
      <w:r w:rsidRPr="00A25870">
        <w:rPr>
          <w:rStyle w:val="FootnoteReference"/>
          <w:szCs w:val="24"/>
        </w:rPr>
        <w:footnoteReference w:id="3"/>
      </w:r>
    </w:p>
    <w:p w14:paraId="42D985E7" w14:textId="77777777" w:rsidR="0001568B" w:rsidRPr="005249B7" w:rsidRDefault="00C03CC4" w:rsidP="0001568B">
      <w:r>
        <w:t>NMR urges the EEB to take several influential factors into account i</w:t>
      </w:r>
      <w:r w:rsidR="0001568B">
        <w:t>n the process of considering or designing a consumer electronics program. First, w</w:t>
      </w:r>
      <w:r w:rsidR="0001568B" w:rsidRPr="005249B7">
        <w:rPr>
          <w:szCs w:val="24"/>
        </w:rPr>
        <w:t>hile a measure might technically be able to reduce a product’s energy consumption, it may be challenging to implement the measure</w:t>
      </w:r>
      <w:r w:rsidR="0001568B">
        <w:rPr>
          <w:szCs w:val="24"/>
        </w:rPr>
        <w:t xml:space="preserve"> given market dynamics</w:t>
      </w:r>
      <w:r w:rsidR="0001568B" w:rsidRPr="005249B7">
        <w:rPr>
          <w:szCs w:val="24"/>
        </w:rPr>
        <w:t xml:space="preserve">. For example, the measure may have a limited appeal to market actors or </w:t>
      </w:r>
      <w:r>
        <w:rPr>
          <w:szCs w:val="24"/>
        </w:rPr>
        <w:t>may</w:t>
      </w:r>
      <w:r w:rsidR="0001568B" w:rsidRPr="005249B7">
        <w:rPr>
          <w:szCs w:val="24"/>
        </w:rPr>
        <w:t xml:space="preserve"> quickly become obsolete because of expected market changes.</w:t>
      </w:r>
      <w:r w:rsidR="0001568B">
        <w:rPr>
          <w:szCs w:val="24"/>
        </w:rPr>
        <w:t xml:space="preserve"> Researching these types of factors could help drive decisions about </w:t>
      </w:r>
      <w:r>
        <w:rPr>
          <w:szCs w:val="24"/>
        </w:rPr>
        <w:t xml:space="preserve">which </w:t>
      </w:r>
      <w:r w:rsidR="0001568B">
        <w:rPr>
          <w:szCs w:val="24"/>
        </w:rPr>
        <w:t xml:space="preserve">product categories to address and </w:t>
      </w:r>
      <w:r>
        <w:rPr>
          <w:szCs w:val="24"/>
        </w:rPr>
        <w:t xml:space="preserve">which </w:t>
      </w:r>
      <w:r w:rsidR="0001568B">
        <w:rPr>
          <w:szCs w:val="24"/>
        </w:rPr>
        <w:t xml:space="preserve">measures </w:t>
      </w:r>
      <w:r>
        <w:rPr>
          <w:szCs w:val="24"/>
        </w:rPr>
        <w:t>are needed</w:t>
      </w:r>
      <w:r w:rsidR="0001568B">
        <w:rPr>
          <w:szCs w:val="24"/>
        </w:rPr>
        <w:t xml:space="preserve"> to address them.</w:t>
      </w:r>
    </w:p>
    <w:p w14:paraId="2DF2B7D3" w14:textId="77777777" w:rsidR="0001568B" w:rsidRDefault="0001568B" w:rsidP="0001568B">
      <w:pPr>
        <w:rPr>
          <w:szCs w:val="24"/>
        </w:rPr>
      </w:pPr>
      <w:r>
        <w:rPr>
          <w:szCs w:val="24"/>
        </w:rPr>
        <w:t xml:space="preserve">Another essential area of future research may include a characterization of the consumer electronics equipment currently installed in Connecticut homes. </w:t>
      </w:r>
      <w:r w:rsidRPr="00124DE7">
        <w:rPr>
          <w:szCs w:val="24"/>
        </w:rPr>
        <w:t xml:space="preserve">The EEB may find it useful to conduct a saturation study in Connecticut like </w:t>
      </w:r>
      <w:r w:rsidR="00025911">
        <w:rPr>
          <w:szCs w:val="24"/>
        </w:rPr>
        <w:t xml:space="preserve">the one </w:t>
      </w:r>
      <w:r w:rsidR="003E2174">
        <w:rPr>
          <w:szCs w:val="24"/>
        </w:rPr>
        <w:t xml:space="preserve">NMR </w:t>
      </w:r>
      <w:r w:rsidR="00025911">
        <w:rPr>
          <w:szCs w:val="24"/>
        </w:rPr>
        <w:t>conducted in</w:t>
      </w:r>
      <w:r w:rsidRPr="00CB3DF2">
        <w:rPr>
          <w:szCs w:val="24"/>
        </w:rPr>
        <w:t xml:space="preserve"> Massachusetts</w:t>
      </w:r>
      <w:r>
        <w:rPr>
          <w:rStyle w:val="FootnoteReference"/>
          <w:szCs w:val="24"/>
        </w:rPr>
        <w:footnoteReference w:id="4"/>
      </w:r>
      <w:r w:rsidRPr="00124DE7">
        <w:rPr>
          <w:szCs w:val="24"/>
        </w:rPr>
        <w:t xml:space="preserve"> </w:t>
      </w:r>
      <w:r>
        <w:rPr>
          <w:szCs w:val="24"/>
        </w:rPr>
        <w:t>(Section</w:t>
      </w:r>
      <w:r w:rsidR="006C5A8A">
        <w:rPr>
          <w:szCs w:val="24"/>
        </w:rPr>
        <w:t xml:space="preserve"> </w:t>
      </w:r>
      <w:r w:rsidR="006C5A8A">
        <w:rPr>
          <w:szCs w:val="24"/>
        </w:rPr>
        <w:fldChar w:fldCharType="begin"/>
      </w:r>
      <w:r w:rsidR="006C5A8A">
        <w:rPr>
          <w:szCs w:val="24"/>
        </w:rPr>
        <w:instrText xml:space="preserve"> REF _Ref400008023 \r \h </w:instrText>
      </w:r>
      <w:r w:rsidR="006C5A8A">
        <w:rPr>
          <w:szCs w:val="24"/>
        </w:rPr>
      </w:r>
      <w:r w:rsidR="006C5A8A">
        <w:rPr>
          <w:szCs w:val="24"/>
        </w:rPr>
        <w:fldChar w:fldCharType="separate"/>
      </w:r>
      <w:r w:rsidR="00302A02">
        <w:rPr>
          <w:szCs w:val="24"/>
        </w:rPr>
        <w:t>4.3</w:t>
      </w:r>
      <w:r w:rsidR="006C5A8A">
        <w:rPr>
          <w:szCs w:val="24"/>
        </w:rPr>
        <w:fldChar w:fldCharType="end"/>
      </w:r>
      <w:r>
        <w:rPr>
          <w:szCs w:val="24"/>
        </w:rPr>
        <w:t xml:space="preserve">) </w:t>
      </w:r>
      <w:r w:rsidRPr="00124DE7">
        <w:rPr>
          <w:szCs w:val="24"/>
        </w:rPr>
        <w:t xml:space="preserve">to help determine the technical potential savings for implementing measures that are estimated to yield high per-unit or per-household energy savings. This quantitative research could involve telephone surveys with customers or home site visits </w:t>
      </w:r>
      <w:r w:rsidR="00025911">
        <w:rPr>
          <w:szCs w:val="24"/>
        </w:rPr>
        <w:t xml:space="preserve">to </w:t>
      </w:r>
      <w:r w:rsidRPr="00124DE7">
        <w:rPr>
          <w:szCs w:val="24"/>
        </w:rPr>
        <w:t>collect data on characteristics like the number and types of units installed or in</w:t>
      </w:r>
      <w:r w:rsidR="00025911">
        <w:rPr>
          <w:szCs w:val="24"/>
        </w:rPr>
        <w:t xml:space="preserve"> </w:t>
      </w:r>
      <w:r w:rsidRPr="00124DE7">
        <w:rPr>
          <w:szCs w:val="24"/>
        </w:rPr>
        <w:t xml:space="preserve">use in Connecticut homes. </w:t>
      </w:r>
    </w:p>
    <w:p w14:paraId="5382E960" w14:textId="77777777" w:rsidR="003662B2" w:rsidRDefault="003662B2">
      <w:pPr>
        <w:spacing w:after="200"/>
        <w:jc w:val="left"/>
        <w:sectPr w:rsidR="003662B2" w:rsidSect="004C67E5">
          <w:headerReference w:type="even" r:id="rId19"/>
          <w:headerReference w:type="default" r:id="rId20"/>
          <w:footerReference w:type="default" r:id="rId21"/>
          <w:headerReference w:type="first" r:id="rId22"/>
          <w:pgSz w:w="12240" w:h="15840"/>
          <w:pgMar w:top="1440" w:right="1440" w:bottom="1440" w:left="1440" w:header="720" w:footer="720" w:gutter="0"/>
          <w:pgNumType w:fmt="upperRoman" w:start="1"/>
          <w:cols w:space="720"/>
          <w:docGrid w:linePitch="360"/>
        </w:sectPr>
      </w:pPr>
    </w:p>
    <w:p w14:paraId="603FEBE7" w14:textId="77777777" w:rsidR="00C275F5" w:rsidRDefault="00C275F5" w:rsidP="004C67E5">
      <w:pPr>
        <w:pStyle w:val="Heading1"/>
      </w:pPr>
      <w:bookmarkStart w:id="2" w:name="_Toc399859712"/>
      <w:bookmarkStart w:id="3" w:name="_Toc399859770"/>
      <w:bookmarkStart w:id="4" w:name="_Toc399860115"/>
      <w:bookmarkStart w:id="5" w:name="_Toc399946304"/>
      <w:bookmarkStart w:id="6" w:name="_Toc401667838"/>
      <w:bookmarkEnd w:id="2"/>
      <w:bookmarkEnd w:id="3"/>
      <w:bookmarkEnd w:id="4"/>
      <w:bookmarkEnd w:id="5"/>
      <w:r>
        <w:lastRenderedPageBreak/>
        <w:t>Introduction</w:t>
      </w:r>
      <w:bookmarkEnd w:id="6"/>
    </w:p>
    <w:p w14:paraId="0F49E991" w14:textId="77777777" w:rsidR="00C275F5" w:rsidRDefault="00C275F5" w:rsidP="00C275F5">
      <w:r>
        <w:t>To identify the potential for a residential consumer electronics program in Connecticut</w:t>
      </w:r>
      <w:r w:rsidR="00434079">
        <w:t>,</w:t>
      </w:r>
      <w:r w:rsidR="009D3EB1">
        <w:t xml:space="preserve"> the Energy Efficiency Board (EEB)</w:t>
      </w:r>
      <w:r w:rsidR="00434079">
        <w:t xml:space="preserve"> requested that</w:t>
      </w:r>
      <w:r w:rsidR="00196E63" w:rsidRPr="00196E63">
        <w:t xml:space="preserve"> </w:t>
      </w:r>
      <w:r w:rsidR="00196E63">
        <w:t xml:space="preserve">NMR Group, Inc. (NMR) review relevant literature to </w:t>
      </w:r>
      <w:r w:rsidR="009D3EB1">
        <w:t>assess</w:t>
      </w:r>
      <w:r w:rsidR="00196E63">
        <w:t xml:space="preserve"> the savings opportunities for the consumer electronics market. </w:t>
      </w:r>
      <w:r w:rsidR="002A7CD1">
        <w:t>Currently</w:t>
      </w:r>
      <w:r w:rsidR="00196E63" w:rsidRPr="00B2105F">
        <w:t xml:space="preserve">, </w:t>
      </w:r>
      <w:r w:rsidR="00434079">
        <w:t xml:space="preserve">neither the </w:t>
      </w:r>
      <w:r w:rsidR="00942E08">
        <w:t xml:space="preserve">United Illuminating </w:t>
      </w:r>
      <w:r w:rsidR="00434079">
        <w:t xml:space="preserve">Company (UI) nor Connecticut Light and Power (CL&amp;P, a </w:t>
      </w:r>
      <w:r w:rsidR="00942E08">
        <w:t xml:space="preserve">Northeast Utilities </w:t>
      </w:r>
      <w:r w:rsidR="00434079">
        <w:t>Company)</w:t>
      </w:r>
      <w:r w:rsidR="005C2122">
        <w:t xml:space="preserve"> </w:t>
      </w:r>
      <w:r w:rsidR="00942E08">
        <w:t>(</w:t>
      </w:r>
      <w:r w:rsidR="00434079">
        <w:t>collectively</w:t>
      </w:r>
      <w:r w:rsidR="00B44C3E">
        <w:t xml:space="preserve"> referred to as</w:t>
      </w:r>
      <w:r w:rsidR="00434079">
        <w:t xml:space="preserve"> </w:t>
      </w:r>
      <w:r w:rsidR="00196E63" w:rsidRPr="00B2105F">
        <w:t>the Companies</w:t>
      </w:r>
      <w:r w:rsidR="00942E08">
        <w:t>) administer</w:t>
      </w:r>
      <w:r w:rsidR="00B44C3E">
        <w:t>s</w:t>
      </w:r>
      <w:r w:rsidR="00942E08">
        <w:t xml:space="preserve"> a </w:t>
      </w:r>
      <w:r w:rsidR="00196E63" w:rsidRPr="00B2105F">
        <w:t>consumer electronics</w:t>
      </w:r>
      <w:r w:rsidR="00942E08">
        <w:t xml:space="preserve"> energy efficiency incentive program</w:t>
      </w:r>
      <w:r w:rsidR="00196E63" w:rsidRPr="00B2105F">
        <w:t>.</w:t>
      </w:r>
      <w:r>
        <w:rPr>
          <w:rStyle w:val="FootnoteReference"/>
        </w:rPr>
        <w:footnoteReference w:id="5"/>
      </w:r>
      <w:r>
        <w:t xml:space="preserve"> </w:t>
      </w:r>
    </w:p>
    <w:p w14:paraId="219221B1" w14:textId="3E83BD45" w:rsidR="00196E63" w:rsidRDefault="00196E63" w:rsidP="00C275F5">
      <w:r>
        <w:t xml:space="preserve">The </w:t>
      </w:r>
      <w:r w:rsidR="00D54BC2">
        <w:t xml:space="preserve">primary objective of </w:t>
      </w:r>
      <w:r w:rsidR="00942E08">
        <w:t>this</w:t>
      </w:r>
      <w:r w:rsidR="00D54BC2">
        <w:t xml:space="preserve"> </w:t>
      </w:r>
      <w:r>
        <w:t xml:space="preserve">literature review </w:t>
      </w:r>
      <w:r w:rsidR="00942E08">
        <w:t>is</w:t>
      </w:r>
      <w:r w:rsidR="00D54BC2">
        <w:t xml:space="preserve"> to report </w:t>
      </w:r>
      <w:r>
        <w:t>estimat</w:t>
      </w:r>
      <w:r w:rsidR="00D54BC2">
        <w:t xml:space="preserve">ed </w:t>
      </w:r>
      <w:r w:rsidR="007C762A">
        <w:t xml:space="preserve">potential </w:t>
      </w:r>
      <w:r>
        <w:t>energy savings associated with consumer electronics measures</w:t>
      </w:r>
      <w:r w:rsidR="00D54BC2">
        <w:t xml:space="preserve">. </w:t>
      </w:r>
      <w:r w:rsidR="009F37C3">
        <w:t>The r</w:t>
      </w:r>
      <w:r w:rsidR="009D3EB1">
        <w:t>eport</w:t>
      </w:r>
      <w:r w:rsidR="00D54BC2">
        <w:t xml:space="preserve"> also </w:t>
      </w:r>
      <w:r w:rsidR="009D3EB1">
        <w:t xml:space="preserve">includes </w:t>
      </w:r>
      <w:r w:rsidR="00D54BC2">
        <w:t>some broad findings of how the consumer electronics market</w:t>
      </w:r>
      <w:r w:rsidR="001B3F1C">
        <w:t>’s</w:t>
      </w:r>
      <w:r w:rsidR="00D54BC2">
        <w:t xml:space="preserve"> dynamics</w:t>
      </w:r>
      <w:r>
        <w:t xml:space="preserve"> might impact the effectiveness of program implementation.</w:t>
      </w:r>
    </w:p>
    <w:p w14:paraId="7E2337BF" w14:textId="77777777" w:rsidR="00D54BC2" w:rsidRDefault="00196E63" w:rsidP="00394E30">
      <w:r>
        <w:t>The study focuses on consumer electronics product</w:t>
      </w:r>
      <w:r w:rsidR="00942E08">
        <w:t xml:space="preserve"> categorie</w:t>
      </w:r>
      <w:r>
        <w:t>s that</w:t>
      </w:r>
      <w:r w:rsidR="001B3F1C">
        <w:t>,</w:t>
      </w:r>
      <w:r>
        <w:t xml:space="preserve"> </w:t>
      </w:r>
      <w:r w:rsidR="00D54BC2">
        <w:t>in 2013</w:t>
      </w:r>
      <w:r w:rsidR="001B3F1C">
        <w:t>,</w:t>
      </w:r>
      <w:r w:rsidR="00D54BC2">
        <w:t xml:space="preserve"> </w:t>
      </w:r>
      <w:r>
        <w:t>represent</w:t>
      </w:r>
      <w:r w:rsidR="00D54BC2">
        <w:t>ed</w:t>
      </w:r>
      <w:r>
        <w:t xml:space="preserve"> the greatest source of potential savings from consumer electronics</w:t>
      </w:r>
      <w:r w:rsidR="001B3F1C">
        <w:t>.</w:t>
      </w:r>
      <w:r w:rsidR="00942E08">
        <w:t xml:space="preserve"> </w:t>
      </w:r>
      <w:r w:rsidR="001B3F1C">
        <w:t>T</w:t>
      </w:r>
      <w:r>
        <w:t>ogether</w:t>
      </w:r>
      <w:r w:rsidR="001B3F1C">
        <w:t>,</w:t>
      </w:r>
      <w:r>
        <w:t xml:space="preserve"> </w:t>
      </w:r>
      <w:r w:rsidR="00942E08">
        <w:t>five product categories</w:t>
      </w:r>
      <w:r>
        <w:t xml:space="preserve"> represent three-quarters of the total </w:t>
      </w:r>
      <w:r w:rsidR="002B0092">
        <w:t>U</w:t>
      </w:r>
      <w:r w:rsidR="00942E08">
        <w:t>S</w:t>
      </w:r>
      <w:r>
        <w:t xml:space="preserve"> </w:t>
      </w:r>
      <w:r w:rsidR="00942E08">
        <w:t xml:space="preserve">residential </w:t>
      </w:r>
      <w:r>
        <w:t>energy consumption of consumer electronics:</w:t>
      </w:r>
      <w:r w:rsidRPr="0095500E">
        <w:t xml:space="preserve"> televisions (TVs), </w:t>
      </w:r>
      <w:r w:rsidRPr="009D3EB1">
        <w:t>set-top boxes</w:t>
      </w:r>
      <w:r w:rsidR="009D3EB1" w:rsidRPr="009D3EB1">
        <w:rPr>
          <w:rStyle w:val="FootnoteReference"/>
        </w:rPr>
        <w:footnoteReference w:id="6"/>
      </w:r>
      <w:r w:rsidRPr="009D3EB1">
        <w:t xml:space="preserve"> (STBs</w:t>
      </w:r>
      <w:r w:rsidRPr="0095500E">
        <w:t xml:space="preserve">), </w:t>
      </w:r>
      <w:r>
        <w:t>personal computers (PCs), network equipment,</w:t>
      </w:r>
      <w:r w:rsidR="00942E08">
        <w:rPr>
          <w:rStyle w:val="FootnoteReference"/>
        </w:rPr>
        <w:footnoteReference w:id="7"/>
      </w:r>
      <w:r>
        <w:t xml:space="preserve"> and video game consoles</w:t>
      </w:r>
      <w:r w:rsidR="00226F57">
        <w:t xml:space="preserve"> (game consoles)</w:t>
      </w:r>
      <w:r>
        <w:t>.</w:t>
      </w:r>
      <w:r w:rsidR="00D54BC2">
        <w:rPr>
          <w:rStyle w:val="FootnoteReference"/>
        </w:rPr>
        <w:footnoteReference w:id="8"/>
      </w:r>
    </w:p>
    <w:p w14:paraId="281EA049" w14:textId="77777777" w:rsidR="00394E30" w:rsidRDefault="00394E30" w:rsidP="00394E30">
      <w:pPr>
        <w:sectPr w:rsidR="00394E30" w:rsidSect="003662B2">
          <w:pgSz w:w="12240" w:h="15840"/>
          <w:pgMar w:top="1440" w:right="1440" w:bottom="1440" w:left="1440" w:header="720" w:footer="720" w:gutter="0"/>
          <w:pgNumType w:start="1"/>
          <w:cols w:space="720"/>
          <w:docGrid w:linePitch="360"/>
        </w:sectPr>
      </w:pPr>
    </w:p>
    <w:p w14:paraId="39F7DAC6" w14:textId="77777777" w:rsidR="00DB3201" w:rsidRDefault="00D31F95" w:rsidP="004C67E5">
      <w:pPr>
        <w:pStyle w:val="Heading1"/>
      </w:pPr>
      <w:bookmarkStart w:id="7" w:name="_Toc399859714"/>
      <w:bookmarkStart w:id="8" w:name="_Toc399859772"/>
      <w:bookmarkStart w:id="9" w:name="_Toc399860117"/>
      <w:bookmarkStart w:id="10" w:name="_Toc399946306"/>
      <w:bookmarkStart w:id="11" w:name="_Toc401667839"/>
      <w:bookmarkEnd w:id="7"/>
      <w:bookmarkEnd w:id="8"/>
      <w:bookmarkEnd w:id="9"/>
      <w:bookmarkEnd w:id="10"/>
      <w:r>
        <w:lastRenderedPageBreak/>
        <w:t xml:space="preserve">Methods and </w:t>
      </w:r>
      <w:r w:rsidR="002B1F29">
        <w:t>Background</w:t>
      </w:r>
      <w:bookmarkEnd w:id="11"/>
    </w:p>
    <w:p w14:paraId="7490B7FE" w14:textId="77777777" w:rsidR="002476BE" w:rsidRDefault="00DB3201" w:rsidP="00DB3201">
      <w:r>
        <w:t>Th</w:t>
      </w:r>
      <w:r w:rsidR="001B3F1C">
        <w:t>is</w:t>
      </w:r>
      <w:r>
        <w:t xml:space="preserve"> section describes NMR’s approach to conducting this literature review and offers some background on consumer electronics and energy consumption.</w:t>
      </w:r>
    </w:p>
    <w:p w14:paraId="6EEF71D9" w14:textId="77777777" w:rsidR="00D31F95" w:rsidRDefault="00D31F95" w:rsidP="00D31F95">
      <w:pPr>
        <w:pStyle w:val="Heading2"/>
      </w:pPr>
      <w:bookmarkStart w:id="12" w:name="_Toc401667840"/>
      <w:r>
        <w:t>Methodology</w:t>
      </w:r>
      <w:bookmarkEnd w:id="12"/>
    </w:p>
    <w:p w14:paraId="72EF854B" w14:textId="5F00C320" w:rsidR="003D3891" w:rsidRDefault="00196E63" w:rsidP="003D3891">
      <w:r>
        <w:t xml:space="preserve">From June through September </w:t>
      </w:r>
      <w:r w:rsidR="004A7556">
        <w:t xml:space="preserve">of </w:t>
      </w:r>
      <w:r>
        <w:t xml:space="preserve">2014, NMR collected and analyzed existing literature </w:t>
      </w:r>
      <w:r w:rsidR="00195F39">
        <w:t>that addressed</w:t>
      </w:r>
      <w:r>
        <w:t xml:space="preserve"> the </w:t>
      </w:r>
      <w:r w:rsidR="00195F39">
        <w:t xml:space="preserve">residential </w:t>
      </w:r>
      <w:r>
        <w:t>consumer electronics energy efficiency market. T</w:t>
      </w:r>
      <w:r w:rsidR="003D3891">
        <w:t>h</w:t>
      </w:r>
      <w:r w:rsidR="00B84C88">
        <w:t>is</w:t>
      </w:r>
      <w:r w:rsidR="003D3891">
        <w:t xml:space="preserve"> literature review </w:t>
      </w:r>
      <w:r w:rsidR="00195F39">
        <w:t xml:space="preserve">helps to </w:t>
      </w:r>
      <w:r>
        <w:t>identif</w:t>
      </w:r>
      <w:r w:rsidR="00195F39">
        <w:t>y</w:t>
      </w:r>
      <w:r w:rsidR="003D3891">
        <w:t xml:space="preserve"> the potential for a residential consumer electronics program in Connecticut. </w:t>
      </w:r>
      <w:r w:rsidR="008651AD">
        <w:t>It is the first step in exploring the program and energy</w:t>
      </w:r>
      <w:r w:rsidR="004A7556">
        <w:t xml:space="preserve"> </w:t>
      </w:r>
      <w:r w:rsidR="008651AD">
        <w:t xml:space="preserve">savings potential from consumer electronics in Connecticut. </w:t>
      </w:r>
    </w:p>
    <w:p w14:paraId="69D98B00" w14:textId="77777777" w:rsidR="003D3891" w:rsidRDefault="004A7556" w:rsidP="003D3891">
      <w:r>
        <w:t>By conducting</w:t>
      </w:r>
      <w:r w:rsidR="003D3891">
        <w:t xml:space="preserve"> a literature review, NMR sought to achieve the following objectives:</w:t>
      </w:r>
    </w:p>
    <w:p w14:paraId="59B66979" w14:textId="77777777" w:rsidR="003D3891" w:rsidRDefault="004A7556" w:rsidP="003D3891">
      <w:pPr>
        <w:pStyle w:val="ListParagraph"/>
        <w:numPr>
          <w:ilvl w:val="0"/>
          <w:numId w:val="26"/>
        </w:numPr>
      </w:pPr>
      <w:r>
        <w:rPr>
          <w:sz w:val="23"/>
          <w:szCs w:val="23"/>
        </w:rPr>
        <w:t>To i</w:t>
      </w:r>
      <w:r w:rsidR="003D3891" w:rsidRPr="00A8548C">
        <w:rPr>
          <w:sz w:val="23"/>
          <w:szCs w:val="23"/>
        </w:rPr>
        <w:t xml:space="preserve">dentify current factors affecting the energy efficiency of </w:t>
      </w:r>
      <w:r w:rsidR="003D3891">
        <w:rPr>
          <w:sz w:val="23"/>
          <w:szCs w:val="23"/>
        </w:rPr>
        <w:t xml:space="preserve">residential </w:t>
      </w:r>
      <w:r w:rsidR="003D3891" w:rsidRPr="00A8548C">
        <w:rPr>
          <w:sz w:val="23"/>
          <w:szCs w:val="23"/>
        </w:rPr>
        <w:t>consumer electronics products and related savings opportunities</w:t>
      </w:r>
    </w:p>
    <w:p w14:paraId="45F92511" w14:textId="77777777" w:rsidR="003D3891" w:rsidRDefault="004A7556" w:rsidP="003D3891">
      <w:pPr>
        <w:pStyle w:val="ListParagraph"/>
        <w:numPr>
          <w:ilvl w:val="0"/>
          <w:numId w:val="26"/>
        </w:numPr>
      </w:pPr>
      <w:r>
        <w:rPr>
          <w:sz w:val="23"/>
          <w:szCs w:val="23"/>
        </w:rPr>
        <w:t>To</w:t>
      </w:r>
      <w:r w:rsidR="00DD1B38">
        <w:rPr>
          <w:sz w:val="23"/>
          <w:szCs w:val="23"/>
        </w:rPr>
        <w:t xml:space="preserve"> offer broad details characterizing</w:t>
      </w:r>
      <w:r w:rsidR="00B8460F">
        <w:rPr>
          <w:sz w:val="23"/>
          <w:szCs w:val="23"/>
        </w:rPr>
        <w:t>, to some extent,</w:t>
      </w:r>
      <w:r w:rsidR="00DD1B38">
        <w:rPr>
          <w:sz w:val="23"/>
          <w:szCs w:val="23"/>
        </w:rPr>
        <w:t xml:space="preserve"> </w:t>
      </w:r>
      <w:r w:rsidR="003D3891">
        <w:rPr>
          <w:sz w:val="23"/>
          <w:szCs w:val="23"/>
        </w:rPr>
        <w:t>the current state of the consumer electronics market</w:t>
      </w:r>
      <w:r w:rsidR="00B8460F">
        <w:rPr>
          <w:sz w:val="23"/>
          <w:szCs w:val="23"/>
        </w:rPr>
        <w:t>—</w:t>
      </w:r>
      <w:r w:rsidR="003D3891">
        <w:rPr>
          <w:sz w:val="23"/>
          <w:szCs w:val="23"/>
        </w:rPr>
        <w:t xml:space="preserve">in particular for the products that account for </w:t>
      </w:r>
      <w:r w:rsidR="00B61233">
        <w:rPr>
          <w:sz w:val="23"/>
          <w:szCs w:val="23"/>
        </w:rPr>
        <w:t xml:space="preserve">the </w:t>
      </w:r>
      <w:r w:rsidR="00DD1B38">
        <w:rPr>
          <w:sz w:val="23"/>
          <w:szCs w:val="23"/>
        </w:rPr>
        <w:t>greatest</w:t>
      </w:r>
      <w:r w:rsidR="003D3891">
        <w:rPr>
          <w:sz w:val="23"/>
          <w:szCs w:val="23"/>
        </w:rPr>
        <w:t xml:space="preserve"> proportions</w:t>
      </w:r>
      <w:r w:rsidR="00DD1B38">
        <w:rPr>
          <w:sz w:val="23"/>
          <w:szCs w:val="23"/>
        </w:rPr>
        <w:t xml:space="preserve"> of residential electricity use</w:t>
      </w:r>
    </w:p>
    <w:p w14:paraId="020FDC6A" w14:textId="77777777" w:rsidR="003D3891" w:rsidRDefault="004A7556" w:rsidP="003D3891">
      <w:pPr>
        <w:pStyle w:val="ListParagraph"/>
        <w:numPr>
          <w:ilvl w:val="0"/>
          <w:numId w:val="26"/>
        </w:numPr>
      </w:pPr>
      <w:r>
        <w:t>To p</w:t>
      </w:r>
      <w:r w:rsidR="003D3891" w:rsidRPr="00A42973">
        <w:t xml:space="preserve">rovide </w:t>
      </w:r>
      <w:r w:rsidR="003D3891">
        <w:t>the EEB with recommendations on which products may make the strongest candidates for inclusion in a consumer electronics program</w:t>
      </w:r>
      <w:r w:rsidR="00B8460F">
        <w:t>,</w:t>
      </w:r>
      <w:r w:rsidR="003D3891">
        <w:t xml:space="preserve"> and possibly </w:t>
      </w:r>
      <w:r w:rsidR="00B8460F">
        <w:t xml:space="preserve">to </w:t>
      </w:r>
      <w:r w:rsidR="003D3891">
        <w:t xml:space="preserve">suggest </w:t>
      </w:r>
      <w:r w:rsidR="003D3891" w:rsidRPr="003F3EA5">
        <w:rPr>
          <w:sz w:val="23"/>
          <w:szCs w:val="23"/>
        </w:rPr>
        <w:t>approaches for the design of a consumer electronics program in Connecticut</w:t>
      </w:r>
    </w:p>
    <w:p w14:paraId="35877CD1" w14:textId="77777777" w:rsidR="00FA636E" w:rsidRDefault="004A7556" w:rsidP="001C0C48">
      <w:pPr>
        <w:pStyle w:val="ListParagraph"/>
        <w:numPr>
          <w:ilvl w:val="0"/>
          <w:numId w:val="26"/>
        </w:numPr>
      </w:pPr>
      <w:r>
        <w:t>To o</w:t>
      </w:r>
      <w:r w:rsidR="003D3891">
        <w:t>ffer suggestions for a more detailed future consumer electronics potential study that will provide the EEB with greater detail on both program and energy savings potential from a possible consumer electronics program</w:t>
      </w:r>
    </w:p>
    <w:p w14:paraId="29CC1B25" w14:textId="77777777" w:rsidR="00B2105F" w:rsidRDefault="001C0C48" w:rsidP="00B2105F">
      <w:r>
        <w:t xml:space="preserve">The consumer electronics market is </w:t>
      </w:r>
      <w:r w:rsidR="00DD1B38">
        <w:t>challenging</w:t>
      </w:r>
      <w:r>
        <w:t xml:space="preserve"> to track</w:t>
      </w:r>
      <w:r w:rsidR="00B8460F">
        <w:t>,</w:t>
      </w:r>
      <w:r>
        <w:t xml:space="preserve"> given the rapid development of new technologies</w:t>
      </w:r>
      <w:r w:rsidR="00DD1B38">
        <w:t xml:space="preserve"> and evolving consumer demands</w:t>
      </w:r>
      <w:r>
        <w:t xml:space="preserve">. As a result, some </w:t>
      </w:r>
      <w:r w:rsidRPr="00D54BC2">
        <w:t>of the material pr</w:t>
      </w:r>
      <w:r w:rsidR="00D54BC2" w:rsidRPr="00D54BC2">
        <w:t>esented here may be</w:t>
      </w:r>
      <w:r w:rsidR="00DD1B38">
        <w:t>come</w:t>
      </w:r>
      <w:r w:rsidR="00D54BC2" w:rsidRPr="00D54BC2">
        <w:t xml:space="preserve"> </w:t>
      </w:r>
      <w:r w:rsidR="00B8460F">
        <w:t>obsolete</w:t>
      </w:r>
      <w:r w:rsidR="00DD1B38">
        <w:t xml:space="preserve"> in the near term</w:t>
      </w:r>
      <w:r w:rsidR="00D54BC2" w:rsidRPr="00D54BC2">
        <w:t>. The team a</w:t>
      </w:r>
      <w:r w:rsidR="00B2105F" w:rsidRPr="00D54BC2">
        <w:t>ttempted to limit</w:t>
      </w:r>
      <w:r w:rsidR="00D54BC2" w:rsidRPr="00D54BC2">
        <w:t xml:space="preserve"> the review</w:t>
      </w:r>
      <w:r w:rsidR="00B2105F" w:rsidRPr="00D54BC2">
        <w:t xml:space="preserve"> </w:t>
      </w:r>
      <w:r w:rsidR="00B61233">
        <w:t xml:space="preserve">only </w:t>
      </w:r>
      <w:r w:rsidR="00B2105F" w:rsidRPr="00D54BC2">
        <w:t xml:space="preserve">to literature </w:t>
      </w:r>
      <w:r w:rsidR="00D54BC2">
        <w:t>published</w:t>
      </w:r>
      <w:r w:rsidR="00DD1B38">
        <w:t xml:space="preserve"> after 201</w:t>
      </w:r>
      <w:r w:rsidR="00195F39">
        <w:t>1</w:t>
      </w:r>
      <w:r w:rsidR="00D54BC2" w:rsidRPr="00D54BC2">
        <w:t>.</w:t>
      </w:r>
      <w:r w:rsidR="00DD1B38">
        <w:rPr>
          <w:rStyle w:val="FootnoteReference"/>
        </w:rPr>
        <w:footnoteReference w:id="9"/>
      </w:r>
      <w:r w:rsidR="00B2105F">
        <w:t xml:space="preserve"> </w:t>
      </w:r>
    </w:p>
    <w:p w14:paraId="163A3449" w14:textId="77777777" w:rsidR="001E7D34" w:rsidRDefault="001E7D34" w:rsidP="00D31F95">
      <w:pPr>
        <w:pStyle w:val="Heading2"/>
      </w:pPr>
      <w:bookmarkStart w:id="13" w:name="_Toc399859717"/>
      <w:bookmarkStart w:id="14" w:name="_Toc399859775"/>
      <w:bookmarkStart w:id="15" w:name="_Toc399860120"/>
      <w:bookmarkStart w:id="16" w:name="_Toc399946309"/>
      <w:bookmarkStart w:id="17" w:name="_Toc401667841"/>
      <w:bookmarkEnd w:id="13"/>
      <w:bookmarkEnd w:id="14"/>
      <w:bookmarkEnd w:id="15"/>
      <w:bookmarkEnd w:id="16"/>
      <w:r>
        <w:lastRenderedPageBreak/>
        <w:t>Product</w:t>
      </w:r>
      <w:r w:rsidR="00B2105F">
        <w:t xml:space="preserve"> Categorie</w:t>
      </w:r>
      <w:r>
        <w:t>s</w:t>
      </w:r>
      <w:r w:rsidR="002B1F29">
        <w:t xml:space="preserve"> and Energy Consumption</w:t>
      </w:r>
      <w:bookmarkEnd w:id="17"/>
    </w:p>
    <w:p w14:paraId="51F47FD4" w14:textId="77777777" w:rsidR="00CA6B42" w:rsidRDefault="006A6CEC" w:rsidP="001D2925">
      <w:pPr>
        <w:keepNext/>
        <w:keepLines/>
      </w:pPr>
      <w:r w:rsidRPr="006A6CEC">
        <w:t>Fraunhofer USA Center for Sustainable Energy Systems</w:t>
      </w:r>
      <w:r>
        <w:t xml:space="preserve"> (Fraunhofer) estimated that consumer electronics products represented 12% of the annual US residential electricity consumption in 2013</w:t>
      </w:r>
      <w:r w:rsidR="00195F39">
        <w:t>, calculating that</w:t>
      </w:r>
      <w:r w:rsidR="00462B1F">
        <w:t xml:space="preserve"> this sector accounted for </w:t>
      </w:r>
      <w:r w:rsidR="006A3AE4">
        <w:t xml:space="preserve">169 </w:t>
      </w:r>
      <w:r w:rsidR="00195F39">
        <w:t>terawatt hours (</w:t>
      </w:r>
      <w:r w:rsidR="006A3AE4">
        <w:t>TWh</w:t>
      </w:r>
      <w:r w:rsidR="00195F39">
        <w:t>)</w:t>
      </w:r>
      <w:r w:rsidR="006A3AE4">
        <w:t xml:space="preserve"> </w:t>
      </w:r>
      <w:r w:rsidR="00462B1F">
        <w:t xml:space="preserve">of use </w:t>
      </w:r>
      <w:r w:rsidR="00891BC1">
        <w:t>that year</w:t>
      </w:r>
      <w:r w:rsidR="006A3AE4">
        <w:t>.</w:t>
      </w:r>
      <w:r w:rsidR="00400F97">
        <w:rPr>
          <w:rStyle w:val="FootnoteReference"/>
        </w:rPr>
        <w:footnoteReference w:id="10"/>
      </w:r>
      <w:r w:rsidR="006E70F7">
        <w:t xml:space="preserve"> </w:t>
      </w:r>
    </w:p>
    <w:p w14:paraId="2BD8C168" w14:textId="77777777" w:rsidR="001D2925" w:rsidRDefault="001D2925" w:rsidP="001D2925">
      <w:pPr>
        <w:keepNext/>
        <w:keepLines/>
      </w:pPr>
      <w:r>
        <w:fldChar w:fldCharType="begin"/>
      </w:r>
      <w:r>
        <w:instrText xml:space="preserve"> REF _Ref395684191 \h </w:instrText>
      </w:r>
      <w:r>
        <w:fldChar w:fldCharType="separate"/>
      </w:r>
      <w:r w:rsidR="00302A02">
        <w:t xml:space="preserve">Table </w:t>
      </w:r>
      <w:r w:rsidR="00302A02">
        <w:rPr>
          <w:noProof/>
        </w:rPr>
        <w:t>1</w:t>
      </w:r>
      <w:r>
        <w:fldChar w:fldCharType="end"/>
      </w:r>
      <w:r>
        <w:t xml:space="preserve"> </w:t>
      </w:r>
      <w:r w:rsidRPr="001D2925">
        <w:t xml:space="preserve">presents </w:t>
      </w:r>
      <w:r w:rsidR="00C4425C">
        <w:t xml:space="preserve">findings related </w:t>
      </w:r>
      <w:r w:rsidR="004260B9">
        <w:t xml:space="preserve">to </w:t>
      </w:r>
      <w:r w:rsidRPr="001D2925">
        <w:t xml:space="preserve">the primary consumer electronics categories that Fraunhofer addressed in </w:t>
      </w:r>
      <w:r w:rsidR="00DD1B38">
        <w:t>its</w:t>
      </w:r>
      <w:r w:rsidRPr="001D2925">
        <w:t xml:space="preserve"> research</w:t>
      </w:r>
      <w:r w:rsidR="00C4425C">
        <w:t xml:space="preserve">. </w:t>
      </w:r>
      <w:r w:rsidR="00234C15">
        <w:t xml:space="preserve">The table lists </w:t>
      </w:r>
      <w:r w:rsidRPr="001D2925">
        <w:t>energy consumption, unit energy consumption (UEC), average number of devices per household, and the percentage of households with the product installed or owned.</w:t>
      </w:r>
    </w:p>
    <w:p w14:paraId="35808102" w14:textId="77777777" w:rsidR="00CA6B42" w:rsidRDefault="00CA6B42" w:rsidP="001D2925">
      <w:r>
        <w:t>NMR chose to focus its research on t</w:t>
      </w:r>
      <w:r w:rsidR="0095500E" w:rsidRPr="0095500E">
        <w:t xml:space="preserve">he </w:t>
      </w:r>
      <w:r w:rsidR="008F4C74">
        <w:t>top</w:t>
      </w:r>
      <w:r w:rsidR="00891BC1">
        <w:t xml:space="preserve"> </w:t>
      </w:r>
      <w:r>
        <w:t xml:space="preserve">five </w:t>
      </w:r>
      <w:r w:rsidR="00891BC1">
        <w:t>energy-</w:t>
      </w:r>
      <w:r w:rsidR="008F4C74">
        <w:t>consuming consumer electronics</w:t>
      </w:r>
      <w:r>
        <w:t>:</w:t>
      </w:r>
      <w:r w:rsidR="00226F57">
        <w:t xml:space="preserve"> TVs, </w:t>
      </w:r>
      <w:r w:rsidR="0095500E" w:rsidRPr="0095500E">
        <w:t xml:space="preserve">STBs, </w:t>
      </w:r>
      <w:r w:rsidR="008F4C74">
        <w:t>PCs</w:t>
      </w:r>
      <w:r>
        <w:t>, network equipment, and game consoles</w:t>
      </w:r>
      <w:r w:rsidR="00840AC6">
        <w:t>; t</w:t>
      </w:r>
      <w:r w:rsidR="0095500E" w:rsidRPr="0095500E">
        <w:t>ogether</w:t>
      </w:r>
      <w:r w:rsidR="00891BC1">
        <w:t>,</w:t>
      </w:r>
      <w:r w:rsidR="0095500E" w:rsidRPr="0095500E">
        <w:t xml:space="preserve"> the</w:t>
      </w:r>
      <w:r w:rsidR="00891BC1">
        <w:t>se products</w:t>
      </w:r>
      <w:r w:rsidR="0095500E" w:rsidRPr="0095500E">
        <w:t xml:space="preserve"> represent </w:t>
      </w:r>
      <w:r>
        <w:t>three-quarters</w:t>
      </w:r>
      <w:r w:rsidR="0095500E" w:rsidRPr="0095500E">
        <w:t xml:space="preserve"> of the total </w:t>
      </w:r>
      <w:r w:rsidR="00C4425C">
        <w:t xml:space="preserve">residential </w:t>
      </w:r>
      <w:r w:rsidR="0095500E" w:rsidRPr="0095500E">
        <w:t xml:space="preserve">energy consumption of </w:t>
      </w:r>
      <w:r>
        <w:t>consumer electronics</w:t>
      </w:r>
      <w:r w:rsidR="0095500E" w:rsidRPr="0095500E">
        <w:t>.</w:t>
      </w:r>
      <w:r w:rsidR="007A5AEB">
        <w:t xml:space="preserve"> </w:t>
      </w:r>
      <w:r>
        <w:t>Using Fraunhofer results, NMR calculated that the avera</w:t>
      </w:r>
      <w:r w:rsidR="00C4425C">
        <w:t>ge household consumes between 9</w:t>
      </w:r>
      <w:r w:rsidR="00891BC1">
        <w:t xml:space="preserve"> </w:t>
      </w:r>
      <w:r>
        <w:t>kWh/year and 432</w:t>
      </w:r>
      <w:r w:rsidR="00891BC1">
        <w:t xml:space="preserve"> </w:t>
      </w:r>
      <w:r>
        <w:t>kWh/year for individual product categories</w:t>
      </w:r>
      <w:r w:rsidR="00C4425C">
        <w:t xml:space="preserve"> (</w:t>
      </w:r>
      <w:r w:rsidR="00C4425C">
        <w:fldChar w:fldCharType="begin"/>
      </w:r>
      <w:r w:rsidR="00C4425C">
        <w:instrText xml:space="preserve"> REF _Ref395684191 \h </w:instrText>
      </w:r>
      <w:r w:rsidR="00C4425C">
        <w:fldChar w:fldCharType="separate"/>
      </w:r>
      <w:r w:rsidR="00302A02">
        <w:t xml:space="preserve">Table </w:t>
      </w:r>
      <w:r w:rsidR="00302A02">
        <w:rPr>
          <w:noProof/>
        </w:rPr>
        <w:t>1</w:t>
      </w:r>
      <w:r w:rsidR="00C4425C">
        <w:fldChar w:fldCharType="end"/>
      </w:r>
      <w:r w:rsidR="00C4425C">
        <w:t>)</w:t>
      </w:r>
      <w:r>
        <w:t>.</w:t>
      </w:r>
    </w:p>
    <w:p w14:paraId="1DE1F57B" w14:textId="77777777" w:rsidR="005D2319" w:rsidRDefault="005D2319" w:rsidP="00394E30">
      <w:pPr>
        <w:pStyle w:val="Caption"/>
        <w:keepLines/>
        <w:jc w:val="both"/>
      </w:pPr>
      <w:bookmarkStart w:id="18" w:name="_Ref392066860"/>
    </w:p>
    <w:p w14:paraId="00933BAA" w14:textId="77777777" w:rsidR="005D2319" w:rsidRDefault="005D2319" w:rsidP="001E30FE">
      <w:pPr>
        <w:pStyle w:val="Caption"/>
        <w:keepLines/>
        <w:sectPr w:rsidR="005D2319" w:rsidSect="004C67E5">
          <w:footerReference w:type="default" r:id="rId23"/>
          <w:pgSz w:w="12240" w:h="15840"/>
          <w:pgMar w:top="1440" w:right="1440" w:bottom="1440" w:left="1440" w:header="720" w:footer="720" w:gutter="0"/>
          <w:cols w:space="720"/>
          <w:docGrid w:linePitch="360"/>
        </w:sectPr>
      </w:pPr>
    </w:p>
    <w:p w14:paraId="2B64A347" w14:textId="77777777" w:rsidR="006E70F7" w:rsidRDefault="006E70F7" w:rsidP="001E30FE">
      <w:pPr>
        <w:pStyle w:val="Caption"/>
        <w:keepLines/>
      </w:pPr>
      <w:bookmarkStart w:id="19" w:name="_Ref395684191"/>
      <w:bookmarkStart w:id="20" w:name="_Toc400007925"/>
      <w:r>
        <w:lastRenderedPageBreak/>
        <w:t xml:space="preserve">Table </w:t>
      </w:r>
      <w:fldSimple w:instr=" SEQ Table \* ARABIC ">
        <w:r w:rsidR="00302A02">
          <w:rPr>
            <w:noProof/>
          </w:rPr>
          <w:t>1</w:t>
        </w:r>
      </w:fldSimple>
      <w:bookmarkEnd w:id="18"/>
      <w:bookmarkEnd w:id="19"/>
      <w:r>
        <w:t>: Consumer Electronics Product Categories – Annual Energy Usage</w:t>
      </w:r>
      <w:r w:rsidR="007F3925">
        <w:t xml:space="preserve"> and</w:t>
      </w:r>
      <w:r>
        <w:t xml:space="preserve"> </w:t>
      </w:r>
      <w:r w:rsidR="007F3925">
        <w:t>Installed Base</w:t>
      </w:r>
      <w:bookmarkEnd w:id="20"/>
    </w:p>
    <w:tbl>
      <w:tblPr>
        <w:tblStyle w:val="TableGrid"/>
        <w:tblW w:w="12914" w:type="dxa"/>
        <w:jc w:val="center"/>
        <w:tblLook w:val="04A0" w:firstRow="1" w:lastRow="0" w:firstColumn="1" w:lastColumn="0" w:noHBand="0" w:noVBand="1"/>
      </w:tblPr>
      <w:tblGrid>
        <w:gridCol w:w="3258"/>
        <w:gridCol w:w="1768"/>
        <w:gridCol w:w="1768"/>
        <w:gridCol w:w="1768"/>
        <w:gridCol w:w="1768"/>
        <w:gridCol w:w="2584"/>
      </w:tblGrid>
      <w:tr w:rsidR="005D2319" w:rsidRPr="001B05A5" w14:paraId="36EAA274" w14:textId="77777777" w:rsidTr="005D2319">
        <w:trPr>
          <w:jc w:val="center"/>
        </w:trPr>
        <w:tc>
          <w:tcPr>
            <w:tcW w:w="3258" w:type="dxa"/>
            <w:tcBorders>
              <w:top w:val="single" w:sz="12" w:space="0" w:color="000000" w:themeColor="text1"/>
              <w:left w:val="single" w:sz="12" w:space="0" w:color="000000" w:themeColor="text1"/>
              <w:bottom w:val="double" w:sz="4" w:space="0" w:color="auto"/>
            </w:tcBorders>
            <w:vAlign w:val="center"/>
          </w:tcPr>
          <w:p w14:paraId="4ED8AF50" w14:textId="77777777" w:rsidR="00D77F89" w:rsidRPr="001B05A5" w:rsidRDefault="00D77F89" w:rsidP="00C4425C">
            <w:pPr>
              <w:keepNext/>
              <w:keepLines/>
              <w:spacing w:after="0"/>
              <w:jc w:val="left"/>
              <w:rPr>
                <w:b/>
                <w:sz w:val="18"/>
                <w:szCs w:val="18"/>
              </w:rPr>
            </w:pPr>
            <w:r>
              <w:rPr>
                <w:b/>
                <w:sz w:val="18"/>
                <w:szCs w:val="18"/>
              </w:rPr>
              <w:t>Product Category</w:t>
            </w:r>
          </w:p>
        </w:tc>
        <w:tc>
          <w:tcPr>
            <w:tcW w:w="1768" w:type="dxa"/>
            <w:tcBorders>
              <w:top w:val="single" w:sz="12" w:space="0" w:color="000000" w:themeColor="text1"/>
              <w:bottom w:val="double" w:sz="4" w:space="0" w:color="auto"/>
              <w:right w:val="double" w:sz="4" w:space="0" w:color="auto"/>
            </w:tcBorders>
            <w:vAlign w:val="center"/>
          </w:tcPr>
          <w:p w14:paraId="69CA7134" w14:textId="77777777" w:rsidR="00D77F89" w:rsidRDefault="00D77F89" w:rsidP="00D77F89">
            <w:pPr>
              <w:keepNext/>
              <w:keepLines/>
              <w:spacing w:after="0"/>
              <w:jc w:val="center"/>
              <w:rPr>
                <w:b/>
                <w:sz w:val="18"/>
                <w:szCs w:val="18"/>
              </w:rPr>
            </w:pPr>
            <w:r>
              <w:rPr>
                <w:b/>
                <w:sz w:val="18"/>
                <w:szCs w:val="18"/>
              </w:rPr>
              <w:t xml:space="preserve">Typical Annual Energy </w:t>
            </w:r>
            <w:r w:rsidRPr="001B05A5">
              <w:rPr>
                <w:b/>
                <w:sz w:val="18"/>
                <w:szCs w:val="18"/>
              </w:rPr>
              <w:t>Consumption</w:t>
            </w:r>
          </w:p>
          <w:p w14:paraId="1665D805" w14:textId="77777777" w:rsidR="00D77F89" w:rsidRPr="001B05A5" w:rsidRDefault="00D77F89" w:rsidP="00D77F89">
            <w:pPr>
              <w:keepNext/>
              <w:keepLines/>
              <w:spacing w:after="0"/>
              <w:jc w:val="center"/>
              <w:rPr>
                <w:b/>
                <w:sz w:val="18"/>
                <w:szCs w:val="18"/>
              </w:rPr>
            </w:pPr>
            <w:r>
              <w:rPr>
                <w:b/>
                <w:sz w:val="18"/>
                <w:szCs w:val="18"/>
              </w:rPr>
              <w:t>(TWh/year)</w:t>
            </w:r>
          </w:p>
        </w:tc>
        <w:tc>
          <w:tcPr>
            <w:tcW w:w="1768" w:type="dxa"/>
            <w:tcBorders>
              <w:top w:val="single" w:sz="12" w:space="0" w:color="000000" w:themeColor="text1"/>
              <w:left w:val="double" w:sz="4" w:space="0" w:color="auto"/>
              <w:bottom w:val="double" w:sz="4" w:space="0" w:color="auto"/>
            </w:tcBorders>
            <w:vAlign w:val="center"/>
          </w:tcPr>
          <w:p w14:paraId="5C1D0285" w14:textId="77777777" w:rsidR="00D77F89" w:rsidRDefault="00D77F89" w:rsidP="00D77F89">
            <w:pPr>
              <w:keepNext/>
              <w:keepLines/>
              <w:spacing w:after="0"/>
              <w:jc w:val="center"/>
              <w:rPr>
                <w:b/>
                <w:sz w:val="18"/>
                <w:szCs w:val="18"/>
              </w:rPr>
            </w:pPr>
            <w:r>
              <w:rPr>
                <w:b/>
                <w:sz w:val="18"/>
                <w:szCs w:val="18"/>
              </w:rPr>
              <w:t>Unit Energy Consumption (kWh/year)</w:t>
            </w:r>
          </w:p>
        </w:tc>
        <w:tc>
          <w:tcPr>
            <w:tcW w:w="1768" w:type="dxa"/>
            <w:tcBorders>
              <w:top w:val="single" w:sz="12" w:space="0" w:color="000000" w:themeColor="text1"/>
              <w:bottom w:val="double" w:sz="4" w:space="0" w:color="auto"/>
              <w:right w:val="single" w:sz="4" w:space="0" w:color="000000" w:themeColor="text1"/>
            </w:tcBorders>
            <w:vAlign w:val="center"/>
          </w:tcPr>
          <w:p w14:paraId="5FF685D3" w14:textId="77777777" w:rsidR="00D77F89" w:rsidRDefault="00D77F89" w:rsidP="007070A9">
            <w:pPr>
              <w:keepNext/>
              <w:keepLines/>
              <w:spacing w:after="0"/>
              <w:jc w:val="center"/>
              <w:rPr>
                <w:b/>
                <w:sz w:val="18"/>
                <w:szCs w:val="18"/>
              </w:rPr>
            </w:pPr>
            <w:r>
              <w:rPr>
                <w:b/>
                <w:sz w:val="18"/>
                <w:szCs w:val="18"/>
              </w:rPr>
              <w:t>Average Number of Units per Household</w:t>
            </w:r>
          </w:p>
          <w:p w14:paraId="0F78E3DF" w14:textId="77777777" w:rsidR="00D77F89" w:rsidRPr="001B05A5" w:rsidRDefault="00D77F89" w:rsidP="007070A9">
            <w:pPr>
              <w:keepNext/>
              <w:keepLines/>
              <w:spacing w:after="0"/>
              <w:jc w:val="center"/>
              <w:rPr>
                <w:b/>
                <w:sz w:val="18"/>
                <w:szCs w:val="18"/>
              </w:rPr>
            </w:pPr>
            <w:r>
              <w:rPr>
                <w:b/>
                <w:sz w:val="18"/>
                <w:szCs w:val="18"/>
              </w:rPr>
              <w:t>(119M households)</w:t>
            </w:r>
          </w:p>
        </w:tc>
        <w:tc>
          <w:tcPr>
            <w:tcW w:w="1768" w:type="dxa"/>
            <w:tcBorders>
              <w:top w:val="single" w:sz="12" w:space="0" w:color="000000" w:themeColor="text1"/>
              <w:left w:val="single" w:sz="4" w:space="0" w:color="000000" w:themeColor="text1"/>
              <w:bottom w:val="double" w:sz="4" w:space="0" w:color="auto"/>
              <w:right w:val="double" w:sz="4" w:space="0" w:color="auto"/>
            </w:tcBorders>
            <w:vAlign w:val="center"/>
          </w:tcPr>
          <w:p w14:paraId="2BCA8AED" w14:textId="77777777" w:rsidR="00D77F89" w:rsidRDefault="00D77F89" w:rsidP="00D77F89">
            <w:pPr>
              <w:keepNext/>
              <w:keepLines/>
              <w:spacing w:after="0"/>
              <w:jc w:val="center"/>
              <w:rPr>
                <w:b/>
                <w:sz w:val="18"/>
                <w:szCs w:val="18"/>
              </w:rPr>
            </w:pPr>
            <w:r>
              <w:rPr>
                <w:b/>
                <w:sz w:val="18"/>
                <w:szCs w:val="18"/>
              </w:rPr>
              <w:t xml:space="preserve">Average Household </w:t>
            </w:r>
            <w:r w:rsidR="00CA6B42">
              <w:rPr>
                <w:b/>
                <w:sz w:val="18"/>
                <w:szCs w:val="18"/>
              </w:rPr>
              <w:t xml:space="preserve">Energy </w:t>
            </w:r>
            <w:r>
              <w:rPr>
                <w:b/>
                <w:sz w:val="18"/>
                <w:szCs w:val="18"/>
              </w:rPr>
              <w:t>Consumption</w:t>
            </w:r>
          </w:p>
          <w:p w14:paraId="14406052" w14:textId="77777777" w:rsidR="00D77F89" w:rsidRPr="001B05A5" w:rsidRDefault="00D77F89" w:rsidP="00D77F89">
            <w:pPr>
              <w:keepNext/>
              <w:keepLines/>
              <w:spacing w:after="0"/>
              <w:jc w:val="center"/>
              <w:rPr>
                <w:b/>
                <w:sz w:val="18"/>
                <w:szCs w:val="18"/>
              </w:rPr>
            </w:pPr>
            <w:r>
              <w:rPr>
                <w:b/>
                <w:sz w:val="18"/>
                <w:szCs w:val="18"/>
              </w:rPr>
              <w:t>(kWh/year)</w:t>
            </w:r>
            <w:r w:rsidR="00F64DD4">
              <w:rPr>
                <w:b/>
                <w:sz w:val="18"/>
                <w:szCs w:val="18"/>
              </w:rPr>
              <w:t>*</w:t>
            </w:r>
          </w:p>
        </w:tc>
        <w:tc>
          <w:tcPr>
            <w:tcW w:w="2584" w:type="dxa"/>
            <w:tcBorders>
              <w:top w:val="single" w:sz="12" w:space="0" w:color="000000" w:themeColor="text1"/>
              <w:left w:val="double" w:sz="4" w:space="0" w:color="auto"/>
              <w:bottom w:val="double" w:sz="4" w:space="0" w:color="auto"/>
              <w:right w:val="single" w:sz="12" w:space="0" w:color="000000" w:themeColor="text1"/>
            </w:tcBorders>
            <w:vAlign w:val="center"/>
          </w:tcPr>
          <w:p w14:paraId="04BBE270" w14:textId="77777777" w:rsidR="00D77F89" w:rsidRDefault="002B0092" w:rsidP="00D77F89">
            <w:pPr>
              <w:keepNext/>
              <w:keepLines/>
              <w:spacing w:after="0"/>
              <w:jc w:val="center"/>
              <w:rPr>
                <w:b/>
                <w:sz w:val="18"/>
                <w:szCs w:val="18"/>
              </w:rPr>
            </w:pPr>
            <w:r>
              <w:rPr>
                <w:b/>
                <w:sz w:val="18"/>
                <w:szCs w:val="18"/>
              </w:rPr>
              <w:t>Estimated Percentage of US</w:t>
            </w:r>
            <w:r w:rsidR="00D77F89">
              <w:rPr>
                <w:b/>
                <w:sz w:val="18"/>
                <w:szCs w:val="18"/>
              </w:rPr>
              <w:t xml:space="preserve"> Households with Product Installed or Used</w:t>
            </w:r>
          </w:p>
        </w:tc>
      </w:tr>
      <w:tr w:rsidR="005D2319" w:rsidRPr="001B05A5" w14:paraId="24903C3E" w14:textId="77777777" w:rsidTr="00827EB2">
        <w:trPr>
          <w:jc w:val="center"/>
        </w:trPr>
        <w:tc>
          <w:tcPr>
            <w:tcW w:w="3258" w:type="dxa"/>
            <w:tcBorders>
              <w:top w:val="double" w:sz="4" w:space="0" w:color="auto"/>
              <w:left w:val="single" w:sz="12" w:space="0" w:color="000000" w:themeColor="text1"/>
              <w:bottom w:val="single" w:sz="4" w:space="0" w:color="000000" w:themeColor="text1"/>
            </w:tcBorders>
            <w:vAlign w:val="center"/>
          </w:tcPr>
          <w:p w14:paraId="626705B8" w14:textId="77777777" w:rsidR="0084423C" w:rsidRPr="001B05A5" w:rsidRDefault="0084423C" w:rsidP="00827EB2">
            <w:pPr>
              <w:keepNext/>
              <w:keepLines/>
              <w:spacing w:after="0"/>
              <w:jc w:val="left"/>
              <w:rPr>
                <w:sz w:val="18"/>
                <w:szCs w:val="18"/>
              </w:rPr>
            </w:pPr>
            <w:r w:rsidRPr="001B05A5">
              <w:rPr>
                <w:sz w:val="18"/>
                <w:szCs w:val="18"/>
              </w:rPr>
              <w:t>T</w:t>
            </w:r>
            <w:r>
              <w:rPr>
                <w:sz w:val="18"/>
                <w:szCs w:val="18"/>
              </w:rPr>
              <w:t>elevisions</w:t>
            </w:r>
          </w:p>
        </w:tc>
        <w:tc>
          <w:tcPr>
            <w:tcW w:w="1768" w:type="dxa"/>
            <w:tcBorders>
              <w:top w:val="double" w:sz="4" w:space="0" w:color="auto"/>
              <w:bottom w:val="single" w:sz="4" w:space="0" w:color="000000" w:themeColor="text1"/>
              <w:right w:val="double" w:sz="4" w:space="0" w:color="auto"/>
            </w:tcBorders>
            <w:vAlign w:val="center"/>
          </w:tcPr>
          <w:p w14:paraId="25534BEC"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50</w:t>
            </w:r>
          </w:p>
        </w:tc>
        <w:tc>
          <w:tcPr>
            <w:tcW w:w="1768" w:type="dxa"/>
            <w:tcBorders>
              <w:top w:val="double" w:sz="4" w:space="0" w:color="auto"/>
              <w:left w:val="double" w:sz="4" w:space="0" w:color="auto"/>
              <w:bottom w:val="single" w:sz="4" w:space="0" w:color="000000" w:themeColor="text1"/>
            </w:tcBorders>
            <w:vAlign w:val="center"/>
          </w:tcPr>
          <w:p w14:paraId="07945BAE"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166</w:t>
            </w:r>
          </w:p>
        </w:tc>
        <w:tc>
          <w:tcPr>
            <w:tcW w:w="1768" w:type="dxa"/>
            <w:tcBorders>
              <w:top w:val="double" w:sz="4" w:space="0" w:color="auto"/>
              <w:bottom w:val="single" w:sz="4" w:space="0" w:color="000000" w:themeColor="text1"/>
              <w:right w:val="single" w:sz="4" w:space="0" w:color="000000" w:themeColor="text1"/>
            </w:tcBorders>
            <w:vAlign w:val="center"/>
          </w:tcPr>
          <w:p w14:paraId="618DC580"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2.6</w:t>
            </w:r>
          </w:p>
        </w:tc>
        <w:tc>
          <w:tcPr>
            <w:tcW w:w="1768" w:type="dxa"/>
            <w:tcBorders>
              <w:top w:val="double" w:sz="4" w:space="0" w:color="auto"/>
              <w:left w:val="single" w:sz="4" w:space="0" w:color="000000" w:themeColor="text1"/>
              <w:bottom w:val="single" w:sz="4" w:space="0" w:color="000000" w:themeColor="text1"/>
              <w:right w:val="double" w:sz="4" w:space="0" w:color="auto"/>
            </w:tcBorders>
            <w:vAlign w:val="center"/>
          </w:tcPr>
          <w:p w14:paraId="16DEAE8C" w14:textId="77777777" w:rsidR="0084423C" w:rsidRPr="0084423C" w:rsidRDefault="0084423C" w:rsidP="00827EB2">
            <w:pPr>
              <w:spacing w:after="0"/>
              <w:jc w:val="center"/>
              <w:rPr>
                <w:rFonts w:cs="Times New Roman"/>
                <w:color w:val="000000"/>
                <w:sz w:val="18"/>
                <w:szCs w:val="18"/>
              </w:rPr>
            </w:pPr>
            <w:r w:rsidRPr="0084423C">
              <w:rPr>
                <w:rFonts w:cs="Times New Roman"/>
                <w:color w:val="000000"/>
                <w:sz w:val="18"/>
                <w:szCs w:val="18"/>
              </w:rPr>
              <w:t>432</w:t>
            </w:r>
          </w:p>
        </w:tc>
        <w:tc>
          <w:tcPr>
            <w:tcW w:w="2584" w:type="dxa"/>
            <w:tcBorders>
              <w:top w:val="double" w:sz="4" w:space="0" w:color="auto"/>
              <w:left w:val="double" w:sz="4" w:space="0" w:color="auto"/>
              <w:bottom w:val="single" w:sz="4" w:space="0" w:color="000000" w:themeColor="text1"/>
              <w:right w:val="single" w:sz="12" w:space="0" w:color="000000" w:themeColor="text1"/>
            </w:tcBorders>
            <w:vAlign w:val="center"/>
          </w:tcPr>
          <w:p w14:paraId="77DAEBAD"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97%</w:t>
            </w:r>
          </w:p>
        </w:tc>
      </w:tr>
      <w:tr w:rsidR="005D2319" w:rsidRPr="001B05A5" w14:paraId="1ED2E6B4" w14:textId="77777777" w:rsidTr="00827EB2">
        <w:trPr>
          <w:jc w:val="center"/>
        </w:trPr>
        <w:tc>
          <w:tcPr>
            <w:tcW w:w="3258" w:type="dxa"/>
            <w:tcBorders>
              <w:left w:val="single" w:sz="12" w:space="0" w:color="000000" w:themeColor="text1"/>
            </w:tcBorders>
            <w:vAlign w:val="center"/>
          </w:tcPr>
          <w:p w14:paraId="4C63DBAF" w14:textId="77777777" w:rsidR="0084423C" w:rsidRPr="001B05A5" w:rsidRDefault="0084423C" w:rsidP="00827EB2">
            <w:pPr>
              <w:keepNext/>
              <w:keepLines/>
              <w:spacing w:after="0"/>
              <w:jc w:val="left"/>
              <w:rPr>
                <w:sz w:val="18"/>
                <w:szCs w:val="18"/>
              </w:rPr>
            </w:pPr>
            <w:r>
              <w:rPr>
                <w:sz w:val="18"/>
                <w:szCs w:val="18"/>
              </w:rPr>
              <w:t>Set-Top Boxes</w:t>
            </w:r>
          </w:p>
        </w:tc>
        <w:tc>
          <w:tcPr>
            <w:tcW w:w="1768" w:type="dxa"/>
            <w:tcBorders>
              <w:right w:val="double" w:sz="4" w:space="0" w:color="auto"/>
            </w:tcBorders>
            <w:vAlign w:val="center"/>
          </w:tcPr>
          <w:p w14:paraId="2DEF9527"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31</w:t>
            </w:r>
          </w:p>
        </w:tc>
        <w:tc>
          <w:tcPr>
            <w:tcW w:w="1768" w:type="dxa"/>
            <w:tcBorders>
              <w:left w:val="double" w:sz="4" w:space="0" w:color="auto"/>
            </w:tcBorders>
            <w:vAlign w:val="center"/>
          </w:tcPr>
          <w:p w14:paraId="5B39C512"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105</w:t>
            </w:r>
          </w:p>
        </w:tc>
        <w:tc>
          <w:tcPr>
            <w:tcW w:w="1768" w:type="dxa"/>
            <w:tcBorders>
              <w:right w:val="single" w:sz="4" w:space="0" w:color="000000" w:themeColor="text1"/>
            </w:tcBorders>
            <w:vAlign w:val="center"/>
          </w:tcPr>
          <w:p w14:paraId="524A1D74"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1.7</w:t>
            </w:r>
          </w:p>
        </w:tc>
        <w:tc>
          <w:tcPr>
            <w:tcW w:w="1768" w:type="dxa"/>
            <w:tcBorders>
              <w:left w:val="single" w:sz="4" w:space="0" w:color="000000" w:themeColor="text1"/>
              <w:right w:val="double" w:sz="4" w:space="0" w:color="auto"/>
            </w:tcBorders>
            <w:vAlign w:val="center"/>
          </w:tcPr>
          <w:p w14:paraId="0058C3C9" w14:textId="77777777" w:rsidR="0084423C" w:rsidRPr="0084423C" w:rsidRDefault="0084423C" w:rsidP="00827EB2">
            <w:pPr>
              <w:spacing w:after="0"/>
              <w:jc w:val="center"/>
              <w:rPr>
                <w:rFonts w:cs="Times New Roman"/>
                <w:color w:val="000000"/>
                <w:sz w:val="18"/>
                <w:szCs w:val="18"/>
              </w:rPr>
            </w:pPr>
            <w:r w:rsidRPr="0084423C">
              <w:rPr>
                <w:rFonts w:cs="Times New Roman"/>
                <w:color w:val="000000"/>
                <w:sz w:val="18"/>
                <w:szCs w:val="18"/>
              </w:rPr>
              <w:t>179</w:t>
            </w:r>
          </w:p>
        </w:tc>
        <w:tc>
          <w:tcPr>
            <w:tcW w:w="2584" w:type="dxa"/>
            <w:tcBorders>
              <w:left w:val="double" w:sz="4" w:space="0" w:color="auto"/>
              <w:right w:val="single" w:sz="12" w:space="0" w:color="000000" w:themeColor="text1"/>
            </w:tcBorders>
            <w:vAlign w:val="center"/>
          </w:tcPr>
          <w:p w14:paraId="685BA4EC" w14:textId="77777777" w:rsidR="0084423C" w:rsidRPr="0084423C" w:rsidRDefault="0084423C" w:rsidP="00190F17">
            <w:pPr>
              <w:keepNext/>
              <w:keepLines/>
              <w:spacing w:after="0"/>
              <w:jc w:val="center"/>
              <w:rPr>
                <w:rFonts w:cs="Times New Roman"/>
                <w:sz w:val="18"/>
                <w:szCs w:val="18"/>
              </w:rPr>
            </w:pPr>
            <w:r w:rsidRPr="0084423C">
              <w:rPr>
                <w:rFonts w:cs="Times New Roman"/>
                <w:sz w:val="18"/>
                <w:szCs w:val="18"/>
              </w:rPr>
              <w:t xml:space="preserve">85% (with </w:t>
            </w:r>
            <w:r w:rsidR="00190F17" w:rsidRPr="0084423C">
              <w:rPr>
                <w:rFonts w:cs="Times New Roman"/>
                <w:sz w:val="18"/>
                <w:szCs w:val="18"/>
              </w:rPr>
              <w:t>pay</w:t>
            </w:r>
            <w:r w:rsidR="00190F17">
              <w:rPr>
                <w:rFonts w:cs="Times New Roman"/>
                <w:sz w:val="18"/>
                <w:szCs w:val="18"/>
              </w:rPr>
              <w:t>-</w:t>
            </w:r>
            <w:r w:rsidRPr="0084423C">
              <w:rPr>
                <w:rFonts w:cs="Times New Roman"/>
                <w:sz w:val="18"/>
                <w:szCs w:val="18"/>
              </w:rPr>
              <w:t>TV)</w:t>
            </w:r>
          </w:p>
        </w:tc>
      </w:tr>
      <w:tr w:rsidR="005D2319" w:rsidRPr="001B05A5" w14:paraId="3647E149" w14:textId="77777777" w:rsidTr="00827EB2">
        <w:trPr>
          <w:jc w:val="center"/>
        </w:trPr>
        <w:tc>
          <w:tcPr>
            <w:tcW w:w="3258" w:type="dxa"/>
            <w:tcBorders>
              <w:left w:val="single" w:sz="12" w:space="0" w:color="000000" w:themeColor="text1"/>
            </w:tcBorders>
            <w:vAlign w:val="center"/>
          </w:tcPr>
          <w:p w14:paraId="1BE937A6" w14:textId="77777777" w:rsidR="0084423C" w:rsidRPr="007C7730" w:rsidRDefault="00827EB2" w:rsidP="00827EB2">
            <w:pPr>
              <w:keepNext/>
              <w:keepLines/>
              <w:spacing w:after="0"/>
              <w:jc w:val="left"/>
              <w:rPr>
                <w:i/>
                <w:sz w:val="18"/>
                <w:szCs w:val="18"/>
              </w:rPr>
            </w:pPr>
            <w:r>
              <w:rPr>
                <w:sz w:val="18"/>
                <w:szCs w:val="18"/>
              </w:rPr>
              <w:t xml:space="preserve">Personal Computers – </w:t>
            </w:r>
            <w:r w:rsidR="0084423C" w:rsidRPr="007C7730">
              <w:rPr>
                <w:i/>
                <w:sz w:val="18"/>
                <w:szCs w:val="18"/>
              </w:rPr>
              <w:t>Desktop</w:t>
            </w:r>
          </w:p>
        </w:tc>
        <w:tc>
          <w:tcPr>
            <w:tcW w:w="1768" w:type="dxa"/>
            <w:tcBorders>
              <w:right w:val="double" w:sz="4" w:space="0" w:color="auto"/>
            </w:tcBorders>
            <w:vAlign w:val="center"/>
          </w:tcPr>
          <w:p w14:paraId="5D088DE1"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16</w:t>
            </w:r>
          </w:p>
        </w:tc>
        <w:tc>
          <w:tcPr>
            <w:tcW w:w="1768" w:type="dxa"/>
            <w:tcBorders>
              <w:left w:val="double" w:sz="4" w:space="0" w:color="auto"/>
            </w:tcBorders>
            <w:vAlign w:val="center"/>
          </w:tcPr>
          <w:p w14:paraId="2C37E1E2"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186</w:t>
            </w:r>
          </w:p>
        </w:tc>
        <w:tc>
          <w:tcPr>
            <w:tcW w:w="1768" w:type="dxa"/>
            <w:tcBorders>
              <w:right w:val="single" w:sz="4" w:space="0" w:color="000000" w:themeColor="text1"/>
            </w:tcBorders>
            <w:vAlign w:val="center"/>
          </w:tcPr>
          <w:p w14:paraId="76E15937"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1.4</w:t>
            </w:r>
          </w:p>
        </w:tc>
        <w:tc>
          <w:tcPr>
            <w:tcW w:w="1768" w:type="dxa"/>
            <w:tcBorders>
              <w:left w:val="single" w:sz="4" w:space="0" w:color="000000" w:themeColor="text1"/>
              <w:right w:val="double" w:sz="4" w:space="0" w:color="auto"/>
            </w:tcBorders>
            <w:vAlign w:val="center"/>
          </w:tcPr>
          <w:p w14:paraId="3E288313" w14:textId="77777777" w:rsidR="0084423C" w:rsidRPr="0084423C" w:rsidRDefault="0084423C" w:rsidP="00827EB2">
            <w:pPr>
              <w:spacing w:after="0"/>
              <w:jc w:val="center"/>
              <w:rPr>
                <w:rFonts w:cs="Times New Roman"/>
                <w:color w:val="000000"/>
                <w:sz w:val="18"/>
                <w:szCs w:val="18"/>
              </w:rPr>
            </w:pPr>
            <w:r w:rsidRPr="0084423C">
              <w:rPr>
                <w:rFonts w:cs="Times New Roman"/>
                <w:color w:val="000000"/>
                <w:sz w:val="18"/>
                <w:szCs w:val="18"/>
              </w:rPr>
              <w:t>260</w:t>
            </w:r>
          </w:p>
        </w:tc>
        <w:tc>
          <w:tcPr>
            <w:tcW w:w="2584" w:type="dxa"/>
            <w:tcBorders>
              <w:left w:val="double" w:sz="4" w:space="0" w:color="auto"/>
              <w:right w:val="single" w:sz="12" w:space="0" w:color="000000" w:themeColor="text1"/>
            </w:tcBorders>
            <w:vAlign w:val="center"/>
          </w:tcPr>
          <w:p w14:paraId="33393F8D"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63%</w:t>
            </w:r>
          </w:p>
        </w:tc>
      </w:tr>
      <w:tr w:rsidR="005D2319" w:rsidRPr="001B05A5" w14:paraId="2EFE606A" w14:textId="77777777" w:rsidTr="00827EB2">
        <w:trPr>
          <w:jc w:val="center"/>
        </w:trPr>
        <w:tc>
          <w:tcPr>
            <w:tcW w:w="3258" w:type="dxa"/>
            <w:tcBorders>
              <w:left w:val="single" w:sz="12" w:space="0" w:color="000000" w:themeColor="text1"/>
            </w:tcBorders>
            <w:vAlign w:val="center"/>
          </w:tcPr>
          <w:p w14:paraId="7E9A77EB" w14:textId="77777777" w:rsidR="0084423C" w:rsidRPr="007C7730" w:rsidRDefault="0084423C" w:rsidP="00827EB2">
            <w:pPr>
              <w:keepNext/>
              <w:keepLines/>
              <w:spacing w:after="0"/>
              <w:jc w:val="left"/>
              <w:rPr>
                <w:i/>
                <w:sz w:val="18"/>
                <w:szCs w:val="18"/>
              </w:rPr>
            </w:pPr>
            <w:r>
              <w:rPr>
                <w:sz w:val="18"/>
                <w:szCs w:val="18"/>
              </w:rPr>
              <w:t>Personal Computers</w:t>
            </w:r>
            <w:r w:rsidRPr="007C7730">
              <w:rPr>
                <w:i/>
                <w:sz w:val="18"/>
                <w:szCs w:val="18"/>
              </w:rPr>
              <w:t xml:space="preserve"> </w:t>
            </w:r>
            <w:r w:rsidR="00827EB2">
              <w:rPr>
                <w:i/>
                <w:sz w:val="18"/>
                <w:szCs w:val="18"/>
              </w:rPr>
              <w:t xml:space="preserve">– </w:t>
            </w:r>
            <w:r w:rsidRPr="007C7730">
              <w:rPr>
                <w:i/>
                <w:sz w:val="18"/>
                <w:szCs w:val="18"/>
              </w:rPr>
              <w:t>Laptop</w:t>
            </w:r>
          </w:p>
        </w:tc>
        <w:tc>
          <w:tcPr>
            <w:tcW w:w="1768" w:type="dxa"/>
            <w:tcBorders>
              <w:right w:val="double" w:sz="4" w:space="0" w:color="auto"/>
            </w:tcBorders>
            <w:vAlign w:val="center"/>
          </w:tcPr>
          <w:p w14:paraId="06F780BD"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4.9</w:t>
            </w:r>
          </w:p>
        </w:tc>
        <w:tc>
          <w:tcPr>
            <w:tcW w:w="1768" w:type="dxa"/>
            <w:tcBorders>
              <w:left w:val="double" w:sz="4" w:space="0" w:color="auto"/>
            </w:tcBorders>
            <w:vAlign w:val="center"/>
          </w:tcPr>
          <w:p w14:paraId="60128AA1"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53</w:t>
            </w:r>
          </w:p>
        </w:tc>
        <w:tc>
          <w:tcPr>
            <w:tcW w:w="1768" w:type="dxa"/>
            <w:tcBorders>
              <w:right w:val="single" w:sz="4" w:space="0" w:color="000000" w:themeColor="text1"/>
            </w:tcBorders>
            <w:vAlign w:val="center"/>
          </w:tcPr>
          <w:p w14:paraId="425D36A1"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1.9</w:t>
            </w:r>
          </w:p>
        </w:tc>
        <w:tc>
          <w:tcPr>
            <w:tcW w:w="1768" w:type="dxa"/>
            <w:tcBorders>
              <w:left w:val="single" w:sz="4" w:space="0" w:color="000000" w:themeColor="text1"/>
              <w:right w:val="double" w:sz="4" w:space="0" w:color="auto"/>
            </w:tcBorders>
            <w:vAlign w:val="center"/>
          </w:tcPr>
          <w:p w14:paraId="0D0586CC" w14:textId="77777777" w:rsidR="0084423C" w:rsidRPr="0084423C" w:rsidRDefault="0084423C" w:rsidP="00827EB2">
            <w:pPr>
              <w:spacing w:after="0"/>
              <w:jc w:val="center"/>
              <w:rPr>
                <w:rFonts w:cs="Times New Roman"/>
                <w:color w:val="000000"/>
                <w:sz w:val="18"/>
                <w:szCs w:val="18"/>
              </w:rPr>
            </w:pPr>
            <w:r w:rsidRPr="0084423C">
              <w:rPr>
                <w:rFonts w:cs="Times New Roman"/>
                <w:color w:val="000000"/>
                <w:sz w:val="18"/>
                <w:szCs w:val="18"/>
              </w:rPr>
              <w:t>101</w:t>
            </w:r>
          </w:p>
        </w:tc>
        <w:tc>
          <w:tcPr>
            <w:tcW w:w="2584" w:type="dxa"/>
            <w:tcBorders>
              <w:left w:val="double" w:sz="4" w:space="0" w:color="auto"/>
              <w:right w:val="single" w:sz="12" w:space="0" w:color="000000" w:themeColor="text1"/>
            </w:tcBorders>
            <w:vAlign w:val="center"/>
          </w:tcPr>
          <w:p w14:paraId="2810FE74"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65%</w:t>
            </w:r>
          </w:p>
        </w:tc>
      </w:tr>
      <w:tr w:rsidR="005D2319" w:rsidRPr="001B05A5" w14:paraId="74DD68C2" w14:textId="77777777" w:rsidTr="00827EB2">
        <w:trPr>
          <w:jc w:val="center"/>
        </w:trPr>
        <w:tc>
          <w:tcPr>
            <w:tcW w:w="3258" w:type="dxa"/>
            <w:tcBorders>
              <w:left w:val="single" w:sz="12" w:space="0" w:color="000000" w:themeColor="text1"/>
            </w:tcBorders>
            <w:vAlign w:val="center"/>
          </w:tcPr>
          <w:p w14:paraId="6FC585CA" w14:textId="77777777" w:rsidR="00D77F89" w:rsidRDefault="00D77F89" w:rsidP="00827EB2">
            <w:pPr>
              <w:keepNext/>
              <w:keepLines/>
              <w:spacing w:after="0"/>
              <w:jc w:val="left"/>
              <w:rPr>
                <w:sz w:val="18"/>
                <w:szCs w:val="18"/>
              </w:rPr>
            </w:pPr>
            <w:r>
              <w:rPr>
                <w:sz w:val="18"/>
                <w:szCs w:val="18"/>
              </w:rPr>
              <w:t xml:space="preserve">Network </w:t>
            </w:r>
            <w:r w:rsidR="00827EB2">
              <w:rPr>
                <w:sz w:val="18"/>
                <w:szCs w:val="18"/>
              </w:rPr>
              <w:t>equipment</w:t>
            </w:r>
          </w:p>
        </w:tc>
        <w:tc>
          <w:tcPr>
            <w:tcW w:w="1768" w:type="dxa"/>
            <w:tcBorders>
              <w:right w:val="double" w:sz="4" w:space="0" w:color="auto"/>
            </w:tcBorders>
            <w:vAlign w:val="center"/>
          </w:tcPr>
          <w:p w14:paraId="07AA9AEF"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12</w:t>
            </w:r>
          </w:p>
        </w:tc>
        <w:tc>
          <w:tcPr>
            <w:tcW w:w="1768" w:type="dxa"/>
            <w:tcBorders>
              <w:left w:val="double" w:sz="4" w:space="0" w:color="auto"/>
            </w:tcBorders>
            <w:vAlign w:val="center"/>
          </w:tcPr>
          <w:p w14:paraId="370682BD"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58</w:t>
            </w:r>
          </w:p>
        </w:tc>
        <w:tc>
          <w:tcPr>
            <w:tcW w:w="1768" w:type="dxa"/>
            <w:tcBorders>
              <w:right w:val="single" w:sz="4" w:space="0" w:color="000000" w:themeColor="text1"/>
            </w:tcBorders>
            <w:vAlign w:val="center"/>
          </w:tcPr>
          <w:p w14:paraId="0FD2642E" w14:textId="77777777" w:rsidR="00D77F89" w:rsidRPr="0084423C" w:rsidRDefault="00F64DD4" w:rsidP="00827EB2">
            <w:pPr>
              <w:keepNext/>
              <w:keepLines/>
              <w:spacing w:after="0"/>
              <w:jc w:val="center"/>
              <w:rPr>
                <w:rFonts w:cs="Times New Roman"/>
                <w:sz w:val="18"/>
                <w:szCs w:val="18"/>
              </w:rPr>
            </w:pPr>
            <w:r>
              <w:rPr>
                <w:rFonts w:cs="Times New Roman"/>
                <w:sz w:val="18"/>
                <w:szCs w:val="18"/>
              </w:rPr>
              <w:t>1.7*</w:t>
            </w:r>
          </w:p>
        </w:tc>
        <w:tc>
          <w:tcPr>
            <w:tcW w:w="1768" w:type="dxa"/>
            <w:tcBorders>
              <w:left w:val="single" w:sz="4" w:space="0" w:color="000000" w:themeColor="text1"/>
              <w:right w:val="double" w:sz="4" w:space="0" w:color="auto"/>
            </w:tcBorders>
            <w:vAlign w:val="center"/>
          </w:tcPr>
          <w:p w14:paraId="1559F22F"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99</w:t>
            </w:r>
          </w:p>
        </w:tc>
        <w:tc>
          <w:tcPr>
            <w:tcW w:w="2584" w:type="dxa"/>
            <w:tcBorders>
              <w:left w:val="double" w:sz="4" w:space="0" w:color="auto"/>
              <w:right w:val="single" w:sz="12" w:space="0" w:color="000000" w:themeColor="text1"/>
            </w:tcBorders>
            <w:vAlign w:val="center"/>
          </w:tcPr>
          <w:p w14:paraId="36ACB4C4"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75% </w:t>
            </w:r>
            <w:r w:rsidR="0084423C" w:rsidRPr="0084423C">
              <w:rPr>
                <w:rFonts w:cs="Times New Roman"/>
                <w:sz w:val="18"/>
                <w:szCs w:val="18"/>
              </w:rPr>
              <w:t xml:space="preserve">– </w:t>
            </w:r>
            <w:r w:rsidRPr="0084423C">
              <w:rPr>
                <w:rFonts w:cs="Times New Roman"/>
                <w:sz w:val="18"/>
                <w:szCs w:val="18"/>
              </w:rPr>
              <w:t>broadband access devices</w:t>
            </w:r>
          </w:p>
          <w:p w14:paraId="1A9F85D1"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62% </w:t>
            </w:r>
            <w:r w:rsidR="0084423C" w:rsidRPr="0084423C">
              <w:rPr>
                <w:rFonts w:cs="Times New Roman"/>
                <w:sz w:val="18"/>
                <w:szCs w:val="18"/>
              </w:rPr>
              <w:t xml:space="preserve">– </w:t>
            </w:r>
            <w:r w:rsidR="00827EB2">
              <w:rPr>
                <w:rFonts w:cs="Times New Roman"/>
                <w:sz w:val="18"/>
                <w:szCs w:val="18"/>
              </w:rPr>
              <w:t>LAN devices</w:t>
            </w:r>
          </w:p>
        </w:tc>
      </w:tr>
      <w:tr w:rsidR="005D2319" w:rsidRPr="001B05A5" w14:paraId="1549A54B" w14:textId="77777777" w:rsidTr="00827EB2">
        <w:trPr>
          <w:jc w:val="center"/>
        </w:trPr>
        <w:tc>
          <w:tcPr>
            <w:tcW w:w="3258" w:type="dxa"/>
            <w:tcBorders>
              <w:left w:val="single" w:sz="12" w:space="0" w:color="000000" w:themeColor="text1"/>
            </w:tcBorders>
            <w:vAlign w:val="center"/>
          </w:tcPr>
          <w:p w14:paraId="6D08BF67" w14:textId="77777777" w:rsidR="00D77F89" w:rsidRDefault="00D77F89" w:rsidP="00827EB2">
            <w:pPr>
              <w:keepNext/>
              <w:keepLines/>
              <w:spacing w:after="0"/>
              <w:jc w:val="left"/>
              <w:rPr>
                <w:sz w:val="18"/>
                <w:szCs w:val="18"/>
              </w:rPr>
            </w:pPr>
            <w:r>
              <w:rPr>
                <w:sz w:val="18"/>
                <w:szCs w:val="18"/>
              </w:rPr>
              <w:t>Game consoles</w:t>
            </w:r>
          </w:p>
        </w:tc>
        <w:tc>
          <w:tcPr>
            <w:tcW w:w="1768" w:type="dxa"/>
            <w:tcBorders>
              <w:right w:val="double" w:sz="4" w:space="0" w:color="auto"/>
            </w:tcBorders>
            <w:vAlign w:val="center"/>
          </w:tcPr>
          <w:p w14:paraId="03A3C609"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11</w:t>
            </w:r>
          </w:p>
        </w:tc>
        <w:tc>
          <w:tcPr>
            <w:tcW w:w="1768" w:type="dxa"/>
            <w:tcBorders>
              <w:left w:val="double" w:sz="4" w:space="0" w:color="auto"/>
            </w:tcBorders>
            <w:vAlign w:val="center"/>
          </w:tcPr>
          <w:p w14:paraId="3CF1053C"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88</w:t>
            </w:r>
          </w:p>
        </w:tc>
        <w:tc>
          <w:tcPr>
            <w:tcW w:w="1768" w:type="dxa"/>
            <w:tcBorders>
              <w:right w:val="single" w:sz="4" w:space="0" w:color="000000" w:themeColor="text1"/>
            </w:tcBorders>
            <w:vAlign w:val="center"/>
          </w:tcPr>
          <w:p w14:paraId="0562B0F5" w14:textId="77777777" w:rsidR="00D77F89" w:rsidRPr="0084423C" w:rsidRDefault="00F64DD4" w:rsidP="00827EB2">
            <w:pPr>
              <w:keepNext/>
              <w:keepLines/>
              <w:spacing w:after="0"/>
              <w:jc w:val="center"/>
              <w:rPr>
                <w:rFonts w:cs="Times New Roman"/>
                <w:sz w:val="18"/>
                <w:szCs w:val="18"/>
              </w:rPr>
            </w:pPr>
            <w:r>
              <w:rPr>
                <w:rFonts w:cs="Times New Roman"/>
                <w:sz w:val="18"/>
                <w:szCs w:val="18"/>
              </w:rPr>
              <w:t>1.1*</w:t>
            </w:r>
          </w:p>
        </w:tc>
        <w:tc>
          <w:tcPr>
            <w:tcW w:w="1768" w:type="dxa"/>
            <w:tcBorders>
              <w:left w:val="single" w:sz="4" w:space="0" w:color="000000" w:themeColor="text1"/>
              <w:right w:val="double" w:sz="4" w:space="0" w:color="auto"/>
            </w:tcBorders>
            <w:vAlign w:val="center"/>
          </w:tcPr>
          <w:p w14:paraId="362B5888"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97</w:t>
            </w:r>
          </w:p>
        </w:tc>
        <w:tc>
          <w:tcPr>
            <w:tcW w:w="2584" w:type="dxa"/>
            <w:tcBorders>
              <w:left w:val="double" w:sz="4" w:space="0" w:color="auto"/>
              <w:right w:val="single" w:sz="12" w:space="0" w:color="000000" w:themeColor="text1"/>
            </w:tcBorders>
            <w:vAlign w:val="center"/>
          </w:tcPr>
          <w:p w14:paraId="37F035B8"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51%</w:t>
            </w:r>
          </w:p>
        </w:tc>
      </w:tr>
      <w:tr w:rsidR="005D2319" w:rsidRPr="001B05A5" w14:paraId="56D58EAE" w14:textId="77777777" w:rsidTr="00827EB2">
        <w:trPr>
          <w:jc w:val="center"/>
        </w:trPr>
        <w:tc>
          <w:tcPr>
            <w:tcW w:w="3258" w:type="dxa"/>
            <w:tcBorders>
              <w:left w:val="single" w:sz="12" w:space="0" w:color="000000" w:themeColor="text1"/>
            </w:tcBorders>
            <w:vAlign w:val="center"/>
          </w:tcPr>
          <w:p w14:paraId="4556F2BB" w14:textId="77777777" w:rsidR="00D77F89" w:rsidRDefault="00D77F89" w:rsidP="00827EB2">
            <w:pPr>
              <w:keepNext/>
              <w:keepLines/>
              <w:spacing w:after="0"/>
              <w:jc w:val="left"/>
              <w:rPr>
                <w:sz w:val="18"/>
                <w:szCs w:val="18"/>
              </w:rPr>
            </w:pPr>
            <w:r>
              <w:rPr>
                <w:sz w:val="18"/>
                <w:szCs w:val="18"/>
              </w:rPr>
              <w:t>Home audio equipment</w:t>
            </w:r>
          </w:p>
        </w:tc>
        <w:tc>
          <w:tcPr>
            <w:tcW w:w="1768" w:type="dxa"/>
            <w:tcBorders>
              <w:right w:val="double" w:sz="4" w:space="0" w:color="auto"/>
            </w:tcBorders>
            <w:vAlign w:val="center"/>
          </w:tcPr>
          <w:p w14:paraId="33AACA86"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6.7</w:t>
            </w:r>
          </w:p>
        </w:tc>
        <w:tc>
          <w:tcPr>
            <w:tcW w:w="1768" w:type="dxa"/>
            <w:tcBorders>
              <w:left w:val="double" w:sz="4" w:space="0" w:color="auto"/>
            </w:tcBorders>
            <w:vAlign w:val="center"/>
          </w:tcPr>
          <w:p w14:paraId="3A28414F"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19 – speaker docks</w:t>
            </w:r>
          </w:p>
          <w:p w14:paraId="355E4A3E"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75 – shelf stereos</w:t>
            </w:r>
          </w:p>
        </w:tc>
        <w:tc>
          <w:tcPr>
            <w:tcW w:w="1768" w:type="dxa"/>
            <w:tcBorders>
              <w:right w:val="single" w:sz="4" w:space="0" w:color="000000" w:themeColor="text1"/>
            </w:tcBorders>
            <w:vAlign w:val="center"/>
          </w:tcPr>
          <w:p w14:paraId="7D52FE7E"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1.8 </w:t>
            </w:r>
            <w:r w:rsidR="0084423C" w:rsidRPr="0084423C">
              <w:rPr>
                <w:rFonts w:cs="Times New Roman"/>
                <w:sz w:val="18"/>
                <w:szCs w:val="18"/>
              </w:rPr>
              <w:t xml:space="preserve">– </w:t>
            </w:r>
            <w:r w:rsidRPr="0084423C">
              <w:rPr>
                <w:rFonts w:cs="Times New Roman"/>
                <w:sz w:val="18"/>
                <w:szCs w:val="18"/>
              </w:rPr>
              <w:t>speaker docks</w:t>
            </w:r>
          </w:p>
          <w:p w14:paraId="73FA1D09"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1.2 </w:t>
            </w:r>
            <w:r w:rsidR="0084423C" w:rsidRPr="0084423C">
              <w:rPr>
                <w:rFonts w:cs="Times New Roman"/>
                <w:sz w:val="18"/>
                <w:szCs w:val="18"/>
              </w:rPr>
              <w:t xml:space="preserve">– </w:t>
            </w:r>
            <w:r w:rsidRPr="0084423C">
              <w:rPr>
                <w:rFonts w:cs="Times New Roman"/>
                <w:sz w:val="18"/>
                <w:szCs w:val="18"/>
              </w:rPr>
              <w:t>shelf stereos</w:t>
            </w:r>
          </w:p>
        </w:tc>
        <w:tc>
          <w:tcPr>
            <w:tcW w:w="1768" w:type="dxa"/>
            <w:tcBorders>
              <w:left w:val="single" w:sz="4" w:space="0" w:color="000000" w:themeColor="text1"/>
              <w:right w:val="double" w:sz="4" w:space="0" w:color="auto"/>
            </w:tcBorders>
            <w:vAlign w:val="center"/>
          </w:tcPr>
          <w:p w14:paraId="5D38C672"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34 – speaker docks</w:t>
            </w:r>
          </w:p>
          <w:p w14:paraId="6621FE12"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90 – shelf stereos</w:t>
            </w:r>
          </w:p>
        </w:tc>
        <w:tc>
          <w:tcPr>
            <w:tcW w:w="2584" w:type="dxa"/>
            <w:tcBorders>
              <w:left w:val="double" w:sz="4" w:space="0" w:color="auto"/>
              <w:right w:val="single" w:sz="12" w:space="0" w:color="000000" w:themeColor="text1"/>
            </w:tcBorders>
            <w:vAlign w:val="center"/>
          </w:tcPr>
          <w:p w14:paraId="411CDFA4"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45% </w:t>
            </w:r>
            <w:r w:rsidR="0084423C" w:rsidRPr="0084423C">
              <w:rPr>
                <w:rFonts w:cs="Times New Roman"/>
                <w:sz w:val="18"/>
                <w:szCs w:val="18"/>
              </w:rPr>
              <w:t xml:space="preserve">– </w:t>
            </w:r>
            <w:r w:rsidRPr="0084423C">
              <w:rPr>
                <w:rFonts w:cs="Times New Roman"/>
                <w:sz w:val="18"/>
                <w:szCs w:val="18"/>
              </w:rPr>
              <w:t>speaker docks</w:t>
            </w:r>
          </w:p>
          <w:p w14:paraId="0BBC6E06"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46% </w:t>
            </w:r>
            <w:r w:rsidR="0084423C" w:rsidRPr="0084423C">
              <w:rPr>
                <w:rFonts w:cs="Times New Roman"/>
                <w:sz w:val="18"/>
                <w:szCs w:val="18"/>
              </w:rPr>
              <w:t xml:space="preserve">– </w:t>
            </w:r>
            <w:r w:rsidRPr="0084423C">
              <w:rPr>
                <w:rFonts w:cs="Times New Roman"/>
                <w:sz w:val="18"/>
                <w:szCs w:val="18"/>
              </w:rPr>
              <w:t>shelf stereos</w:t>
            </w:r>
          </w:p>
        </w:tc>
      </w:tr>
      <w:tr w:rsidR="005D2319" w:rsidRPr="001B05A5" w14:paraId="298AD9F8" w14:textId="77777777" w:rsidTr="00827EB2">
        <w:trPr>
          <w:jc w:val="center"/>
        </w:trPr>
        <w:tc>
          <w:tcPr>
            <w:tcW w:w="3258" w:type="dxa"/>
            <w:tcBorders>
              <w:left w:val="single" w:sz="12" w:space="0" w:color="000000" w:themeColor="text1"/>
            </w:tcBorders>
            <w:vAlign w:val="center"/>
          </w:tcPr>
          <w:p w14:paraId="59CF9362" w14:textId="77777777" w:rsidR="00D77F89" w:rsidRDefault="00D77F89" w:rsidP="00827EB2">
            <w:pPr>
              <w:keepNext/>
              <w:keepLines/>
              <w:spacing w:after="0"/>
              <w:jc w:val="left"/>
              <w:rPr>
                <w:sz w:val="18"/>
                <w:szCs w:val="18"/>
              </w:rPr>
            </w:pPr>
            <w:r>
              <w:rPr>
                <w:sz w:val="18"/>
                <w:szCs w:val="18"/>
              </w:rPr>
              <w:t>Computer monitors</w:t>
            </w:r>
          </w:p>
        </w:tc>
        <w:tc>
          <w:tcPr>
            <w:tcW w:w="1768" w:type="dxa"/>
            <w:tcBorders>
              <w:right w:val="double" w:sz="4" w:space="0" w:color="auto"/>
            </w:tcBorders>
            <w:vAlign w:val="center"/>
          </w:tcPr>
          <w:p w14:paraId="0B55FF34"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5.6</w:t>
            </w:r>
          </w:p>
        </w:tc>
        <w:tc>
          <w:tcPr>
            <w:tcW w:w="1768" w:type="dxa"/>
            <w:tcBorders>
              <w:left w:val="double" w:sz="4" w:space="0" w:color="auto"/>
            </w:tcBorders>
            <w:vAlign w:val="center"/>
          </w:tcPr>
          <w:p w14:paraId="7D2C373E"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58</w:t>
            </w:r>
          </w:p>
        </w:tc>
        <w:tc>
          <w:tcPr>
            <w:tcW w:w="1768" w:type="dxa"/>
            <w:tcBorders>
              <w:right w:val="single" w:sz="4" w:space="0" w:color="000000" w:themeColor="text1"/>
            </w:tcBorders>
            <w:vAlign w:val="center"/>
          </w:tcPr>
          <w:p w14:paraId="24503F0F" w14:textId="77777777" w:rsidR="00D77F89" w:rsidRPr="0084423C" w:rsidRDefault="00F64DD4" w:rsidP="00827EB2">
            <w:pPr>
              <w:keepNext/>
              <w:keepLines/>
              <w:spacing w:after="0"/>
              <w:jc w:val="center"/>
              <w:rPr>
                <w:rFonts w:cs="Times New Roman"/>
                <w:sz w:val="18"/>
                <w:szCs w:val="18"/>
              </w:rPr>
            </w:pPr>
            <w:r>
              <w:rPr>
                <w:rFonts w:cs="Times New Roman"/>
                <w:sz w:val="18"/>
                <w:szCs w:val="18"/>
              </w:rPr>
              <w:t>0.8*</w:t>
            </w:r>
          </w:p>
        </w:tc>
        <w:tc>
          <w:tcPr>
            <w:tcW w:w="1768" w:type="dxa"/>
            <w:tcBorders>
              <w:left w:val="single" w:sz="4" w:space="0" w:color="000000" w:themeColor="text1"/>
              <w:right w:val="double" w:sz="4" w:space="0" w:color="auto"/>
            </w:tcBorders>
            <w:vAlign w:val="center"/>
          </w:tcPr>
          <w:p w14:paraId="358FEDE7"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46</w:t>
            </w:r>
          </w:p>
        </w:tc>
        <w:tc>
          <w:tcPr>
            <w:tcW w:w="2584" w:type="dxa"/>
            <w:tcBorders>
              <w:left w:val="double" w:sz="4" w:space="0" w:color="auto"/>
              <w:right w:val="single" w:sz="12" w:space="0" w:color="000000" w:themeColor="text1"/>
            </w:tcBorders>
            <w:vAlign w:val="center"/>
          </w:tcPr>
          <w:p w14:paraId="6DA68D62"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42%</w:t>
            </w:r>
          </w:p>
        </w:tc>
      </w:tr>
      <w:tr w:rsidR="005D2319" w:rsidRPr="001B05A5" w14:paraId="1E49C64E" w14:textId="77777777" w:rsidTr="00827EB2">
        <w:trPr>
          <w:jc w:val="center"/>
        </w:trPr>
        <w:tc>
          <w:tcPr>
            <w:tcW w:w="3258" w:type="dxa"/>
            <w:tcBorders>
              <w:left w:val="single" w:sz="12" w:space="0" w:color="000000" w:themeColor="text1"/>
            </w:tcBorders>
            <w:vAlign w:val="center"/>
          </w:tcPr>
          <w:p w14:paraId="4ED8D230" w14:textId="77777777" w:rsidR="00D77F89" w:rsidRDefault="00D77F89" w:rsidP="00827EB2">
            <w:pPr>
              <w:keepNext/>
              <w:keepLines/>
              <w:spacing w:after="0"/>
              <w:jc w:val="left"/>
              <w:rPr>
                <w:sz w:val="18"/>
                <w:szCs w:val="18"/>
              </w:rPr>
            </w:pPr>
            <w:r>
              <w:rPr>
                <w:sz w:val="18"/>
                <w:szCs w:val="18"/>
              </w:rPr>
              <w:t>Computer speakers</w:t>
            </w:r>
          </w:p>
        </w:tc>
        <w:tc>
          <w:tcPr>
            <w:tcW w:w="1768" w:type="dxa"/>
            <w:tcBorders>
              <w:right w:val="double" w:sz="4" w:space="0" w:color="auto"/>
            </w:tcBorders>
            <w:vAlign w:val="center"/>
          </w:tcPr>
          <w:p w14:paraId="6F046622"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2.6</w:t>
            </w:r>
          </w:p>
        </w:tc>
        <w:tc>
          <w:tcPr>
            <w:tcW w:w="1768" w:type="dxa"/>
            <w:tcBorders>
              <w:left w:val="double" w:sz="4" w:space="0" w:color="auto"/>
            </w:tcBorders>
            <w:vAlign w:val="center"/>
          </w:tcPr>
          <w:p w14:paraId="16CF195F"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42</w:t>
            </w:r>
          </w:p>
        </w:tc>
        <w:tc>
          <w:tcPr>
            <w:tcW w:w="1768" w:type="dxa"/>
            <w:tcBorders>
              <w:right w:val="single" w:sz="4" w:space="0" w:color="000000" w:themeColor="text1"/>
            </w:tcBorders>
            <w:vAlign w:val="center"/>
          </w:tcPr>
          <w:p w14:paraId="220CFE19" w14:textId="77777777" w:rsidR="00D77F89" w:rsidRPr="0084423C" w:rsidRDefault="00F64DD4" w:rsidP="00827EB2">
            <w:pPr>
              <w:keepNext/>
              <w:keepLines/>
              <w:spacing w:after="0"/>
              <w:jc w:val="center"/>
              <w:rPr>
                <w:rFonts w:cs="Times New Roman"/>
                <w:sz w:val="18"/>
                <w:szCs w:val="18"/>
              </w:rPr>
            </w:pPr>
            <w:r>
              <w:rPr>
                <w:rFonts w:cs="Times New Roman"/>
                <w:sz w:val="18"/>
                <w:szCs w:val="18"/>
              </w:rPr>
              <w:t>0.5*</w:t>
            </w:r>
          </w:p>
        </w:tc>
        <w:tc>
          <w:tcPr>
            <w:tcW w:w="1768" w:type="dxa"/>
            <w:tcBorders>
              <w:left w:val="single" w:sz="4" w:space="0" w:color="000000" w:themeColor="text1"/>
              <w:right w:val="double" w:sz="4" w:space="0" w:color="auto"/>
            </w:tcBorders>
            <w:vAlign w:val="center"/>
          </w:tcPr>
          <w:p w14:paraId="677CBB7A"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21</w:t>
            </w:r>
          </w:p>
        </w:tc>
        <w:tc>
          <w:tcPr>
            <w:tcW w:w="2584" w:type="dxa"/>
            <w:tcBorders>
              <w:left w:val="double" w:sz="4" w:space="0" w:color="auto"/>
              <w:right w:val="single" w:sz="12" w:space="0" w:color="000000" w:themeColor="text1"/>
            </w:tcBorders>
            <w:vAlign w:val="center"/>
          </w:tcPr>
          <w:p w14:paraId="37313294"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18% </w:t>
            </w:r>
            <w:r w:rsidR="0084423C" w:rsidRPr="0084423C">
              <w:rPr>
                <w:rFonts w:cs="Times New Roman"/>
                <w:sz w:val="18"/>
                <w:szCs w:val="18"/>
              </w:rPr>
              <w:t xml:space="preserve">– </w:t>
            </w:r>
            <w:r w:rsidRPr="0084423C">
              <w:rPr>
                <w:rFonts w:cs="Times New Roman"/>
                <w:sz w:val="18"/>
                <w:szCs w:val="18"/>
              </w:rPr>
              <w:t>subwoofer</w:t>
            </w:r>
          </w:p>
          <w:p w14:paraId="756E29E2"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35% </w:t>
            </w:r>
            <w:r w:rsidR="0084423C" w:rsidRPr="0084423C">
              <w:rPr>
                <w:rFonts w:cs="Times New Roman"/>
                <w:sz w:val="18"/>
                <w:szCs w:val="18"/>
              </w:rPr>
              <w:t xml:space="preserve">– </w:t>
            </w:r>
            <w:r w:rsidRPr="0084423C">
              <w:rPr>
                <w:rFonts w:cs="Times New Roman"/>
                <w:sz w:val="18"/>
                <w:szCs w:val="18"/>
              </w:rPr>
              <w:t>without subwoofer</w:t>
            </w:r>
          </w:p>
        </w:tc>
      </w:tr>
      <w:tr w:rsidR="005D2319" w:rsidRPr="001B05A5" w14:paraId="730FF360" w14:textId="77777777" w:rsidTr="00827EB2">
        <w:trPr>
          <w:jc w:val="center"/>
        </w:trPr>
        <w:tc>
          <w:tcPr>
            <w:tcW w:w="3258" w:type="dxa"/>
            <w:tcBorders>
              <w:left w:val="single" w:sz="12" w:space="0" w:color="000000" w:themeColor="text1"/>
            </w:tcBorders>
            <w:vAlign w:val="center"/>
          </w:tcPr>
          <w:p w14:paraId="0F4953EA" w14:textId="77777777" w:rsidR="00D77F89" w:rsidRDefault="00D77F89" w:rsidP="00827EB2">
            <w:pPr>
              <w:keepNext/>
              <w:keepLines/>
              <w:spacing w:after="0"/>
              <w:jc w:val="left"/>
              <w:rPr>
                <w:sz w:val="18"/>
                <w:szCs w:val="18"/>
              </w:rPr>
            </w:pPr>
            <w:r>
              <w:rPr>
                <w:sz w:val="18"/>
                <w:szCs w:val="18"/>
              </w:rPr>
              <w:t>Mobile computing devices</w:t>
            </w:r>
          </w:p>
        </w:tc>
        <w:tc>
          <w:tcPr>
            <w:tcW w:w="1768" w:type="dxa"/>
            <w:tcBorders>
              <w:right w:val="double" w:sz="4" w:space="0" w:color="auto"/>
            </w:tcBorders>
            <w:vAlign w:val="center"/>
          </w:tcPr>
          <w:p w14:paraId="0B24E69E"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1.4</w:t>
            </w:r>
          </w:p>
        </w:tc>
        <w:tc>
          <w:tcPr>
            <w:tcW w:w="1768" w:type="dxa"/>
            <w:tcBorders>
              <w:left w:val="double" w:sz="4" w:space="0" w:color="auto"/>
            </w:tcBorders>
            <w:vAlign w:val="center"/>
          </w:tcPr>
          <w:p w14:paraId="21AFEE21"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4.5 – smartphones</w:t>
            </w:r>
          </w:p>
          <w:p w14:paraId="754F1A56" w14:textId="77777777" w:rsidR="00D77F89" w:rsidRPr="0084423C" w:rsidRDefault="0084423C" w:rsidP="00827EB2">
            <w:pPr>
              <w:keepNext/>
              <w:keepLines/>
              <w:spacing w:after="0"/>
              <w:jc w:val="center"/>
              <w:rPr>
                <w:rFonts w:cs="Times New Roman"/>
                <w:sz w:val="18"/>
                <w:szCs w:val="18"/>
              </w:rPr>
            </w:pPr>
            <w:r w:rsidRPr="0084423C">
              <w:rPr>
                <w:rFonts w:cs="Times New Roman"/>
                <w:sz w:val="18"/>
                <w:szCs w:val="18"/>
              </w:rPr>
              <w:t>6.1 – tablets</w:t>
            </w:r>
          </w:p>
        </w:tc>
        <w:tc>
          <w:tcPr>
            <w:tcW w:w="1768" w:type="dxa"/>
            <w:tcBorders>
              <w:right w:val="single" w:sz="4" w:space="0" w:color="000000" w:themeColor="text1"/>
            </w:tcBorders>
            <w:vAlign w:val="center"/>
          </w:tcPr>
          <w:p w14:paraId="76B257D7"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2.1 </w:t>
            </w:r>
            <w:r w:rsidR="0084423C" w:rsidRPr="0084423C">
              <w:rPr>
                <w:rFonts w:cs="Times New Roman"/>
                <w:sz w:val="18"/>
                <w:szCs w:val="18"/>
              </w:rPr>
              <w:t xml:space="preserve">– </w:t>
            </w:r>
            <w:r w:rsidRPr="0084423C">
              <w:rPr>
                <w:rFonts w:cs="Times New Roman"/>
                <w:sz w:val="18"/>
                <w:szCs w:val="18"/>
              </w:rPr>
              <w:t>smartphones</w:t>
            </w:r>
          </w:p>
          <w:p w14:paraId="32E0C406"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1.5 </w:t>
            </w:r>
            <w:r w:rsidR="0084423C" w:rsidRPr="0084423C">
              <w:rPr>
                <w:rFonts w:cs="Times New Roman"/>
                <w:sz w:val="18"/>
                <w:szCs w:val="18"/>
              </w:rPr>
              <w:t xml:space="preserve">– </w:t>
            </w:r>
            <w:r w:rsidRPr="0084423C">
              <w:rPr>
                <w:rFonts w:cs="Times New Roman"/>
                <w:sz w:val="18"/>
                <w:szCs w:val="18"/>
              </w:rPr>
              <w:t>tablets</w:t>
            </w:r>
          </w:p>
        </w:tc>
        <w:tc>
          <w:tcPr>
            <w:tcW w:w="1768" w:type="dxa"/>
            <w:tcBorders>
              <w:left w:val="single" w:sz="4" w:space="0" w:color="000000" w:themeColor="text1"/>
              <w:bottom w:val="single" w:sz="4" w:space="0" w:color="000000" w:themeColor="text1"/>
              <w:right w:val="double" w:sz="4" w:space="0" w:color="auto"/>
            </w:tcBorders>
            <w:vAlign w:val="center"/>
          </w:tcPr>
          <w:p w14:paraId="73CCE9D3"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9 – smartphones</w:t>
            </w:r>
          </w:p>
          <w:p w14:paraId="17334714" w14:textId="77777777" w:rsidR="0084423C" w:rsidRPr="0084423C" w:rsidRDefault="0084423C" w:rsidP="00827EB2">
            <w:pPr>
              <w:keepNext/>
              <w:keepLines/>
              <w:spacing w:after="0"/>
              <w:jc w:val="center"/>
              <w:rPr>
                <w:rFonts w:cs="Times New Roman"/>
                <w:sz w:val="18"/>
                <w:szCs w:val="18"/>
              </w:rPr>
            </w:pPr>
            <w:r w:rsidRPr="0084423C">
              <w:rPr>
                <w:rFonts w:cs="Times New Roman"/>
                <w:sz w:val="18"/>
                <w:szCs w:val="18"/>
              </w:rPr>
              <w:t>9 – tablets</w:t>
            </w:r>
          </w:p>
        </w:tc>
        <w:tc>
          <w:tcPr>
            <w:tcW w:w="2584" w:type="dxa"/>
            <w:tcBorders>
              <w:left w:val="double" w:sz="4" w:space="0" w:color="auto"/>
              <w:bottom w:val="single" w:sz="4" w:space="0" w:color="000000" w:themeColor="text1"/>
              <w:right w:val="single" w:sz="12" w:space="0" w:color="000000" w:themeColor="text1"/>
            </w:tcBorders>
            <w:vAlign w:val="center"/>
          </w:tcPr>
          <w:p w14:paraId="253A94D2"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66% </w:t>
            </w:r>
            <w:r w:rsidR="0084423C" w:rsidRPr="0084423C">
              <w:rPr>
                <w:rFonts w:cs="Times New Roman"/>
                <w:sz w:val="18"/>
                <w:szCs w:val="18"/>
              </w:rPr>
              <w:t xml:space="preserve">– </w:t>
            </w:r>
            <w:r w:rsidRPr="0084423C">
              <w:rPr>
                <w:rFonts w:cs="Times New Roman"/>
                <w:sz w:val="18"/>
                <w:szCs w:val="18"/>
              </w:rPr>
              <w:t>smartphones</w:t>
            </w:r>
          </w:p>
          <w:p w14:paraId="536C0BDD" w14:textId="77777777" w:rsidR="00D77F89" w:rsidRPr="0084423C" w:rsidRDefault="00D77F89" w:rsidP="00827EB2">
            <w:pPr>
              <w:keepNext/>
              <w:keepLines/>
              <w:spacing w:after="0"/>
              <w:jc w:val="center"/>
              <w:rPr>
                <w:rFonts w:cs="Times New Roman"/>
                <w:sz w:val="18"/>
                <w:szCs w:val="18"/>
              </w:rPr>
            </w:pPr>
            <w:r w:rsidRPr="0084423C">
              <w:rPr>
                <w:rFonts w:cs="Times New Roman"/>
                <w:sz w:val="18"/>
                <w:szCs w:val="18"/>
              </w:rPr>
              <w:t xml:space="preserve">57% </w:t>
            </w:r>
            <w:r w:rsidR="0084423C" w:rsidRPr="0084423C">
              <w:rPr>
                <w:rFonts w:cs="Times New Roman"/>
                <w:sz w:val="18"/>
                <w:szCs w:val="18"/>
              </w:rPr>
              <w:t xml:space="preserve">– </w:t>
            </w:r>
            <w:r w:rsidRPr="0084423C">
              <w:rPr>
                <w:rFonts w:cs="Times New Roman"/>
                <w:sz w:val="18"/>
                <w:szCs w:val="18"/>
              </w:rPr>
              <w:t>tablets</w:t>
            </w:r>
          </w:p>
        </w:tc>
      </w:tr>
      <w:tr w:rsidR="005D2319" w:rsidRPr="001B05A5" w14:paraId="450B2D48" w14:textId="77777777" w:rsidTr="00827EB2">
        <w:trPr>
          <w:jc w:val="center"/>
        </w:trPr>
        <w:tc>
          <w:tcPr>
            <w:tcW w:w="3258" w:type="dxa"/>
            <w:tcBorders>
              <w:left w:val="single" w:sz="12" w:space="0" w:color="000000" w:themeColor="text1"/>
            </w:tcBorders>
            <w:vAlign w:val="center"/>
          </w:tcPr>
          <w:p w14:paraId="45F89EC3" w14:textId="77777777" w:rsidR="00D77F89" w:rsidRDefault="00D77F89" w:rsidP="00827EB2">
            <w:pPr>
              <w:keepNext/>
              <w:keepLines/>
              <w:spacing w:after="0"/>
              <w:jc w:val="left"/>
              <w:rPr>
                <w:sz w:val="18"/>
                <w:szCs w:val="18"/>
              </w:rPr>
            </w:pPr>
            <w:r>
              <w:rPr>
                <w:sz w:val="18"/>
                <w:szCs w:val="18"/>
              </w:rPr>
              <w:t>Other devices</w:t>
            </w:r>
          </w:p>
        </w:tc>
        <w:tc>
          <w:tcPr>
            <w:tcW w:w="1768" w:type="dxa"/>
            <w:tcBorders>
              <w:right w:val="double" w:sz="4" w:space="0" w:color="auto"/>
            </w:tcBorders>
            <w:vAlign w:val="center"/>
          </w:tcPr>
          <w:p w14:paraId="6DEF8677" w14:textId="77777777" w:rsidR="00D77F89" w:rsidRPr="001B05A5" w:rsidRDefault="00D77F89" w:rsidP="00827EB2">
            <w:pPr>
              <w:keepNext/>
              <w:keepLines/>
              <w:spacing w:after="0"/>
              <w:jc w:val="center"/>
              <w:rPr>
                <w:sz w:val="18"/>
                <w:szCs w:val="18"/>
              </w:rPr>
            </w:pPr>
            <w:r>
              <w:rPr>
                <w:sz w:val="18"/>
                <w:szCs w:val="18"/>
              </w:rPr>
              <w:t>28</w:t>
            </w:r>
          </w:p>
        </w:tc>
        <w:tc>
          <w:tcPr>
            <w:tcW w:w="1768" w:type="dxa"/>
            <w:tcBorders>
              <w:left w:val="double" w:sz="4" w:space="0" w:color="auto"/>
            </w:tcBorders>
            <w:shd w:val="clear" w:color="auto" w:fill="BFBFBF" w:themeFill="background1" w:themeFillShade="BF"/>
            <w:vAlign w:val="center"/>
          </w:tcPr>
          <w:p w14:paraId="19066517" w14:textId="77777777" w:rsidR="00D77F89" w:rsidRPr="00FA636E" w:rsidRDefault="00D77F89" w:rsidP="00827EB2">
            <w:pPr>
              <w:keepNext/>
              <w:keepLines/>
              <w:spacing w:after="0"/>
              <w:jc w:val="center"/>
              <w:rPr>
                <w:i/>
                <w:sz w:val="18"/>
                <w:szCs w:val="18"/>
              </w:rPr>
            </w:pPr>
          </w:p>
        </w:tc>
        <w:tc>
          <w:tcPr>
            <w:tcW w:w="1768" w:type="dxa"/>
            <w:tcBorders>
              <w:right w:val="single" w:sz="4" w:space="0" w:color="000000" w:themeColor="text1"/>
            </w:tcBorders>
            <w:shd w:val="clear" w:color="auto" w:fill="BFBFBF" w:themeFill="background1" w:themeFillShade="BF"/>
            <w:vAlign w:val="center"/>
          </w:tcPr>
          <w:p w14:paraId="2560DF86" w14:textId="77777777" w:rsidR="00D77F89" w:rsidRPr="00FA636E" w:rsidRDefault="00D77F89" w:rsidP="00827EB2">
            <w:pPr>
              <w:keepNext/>
              <w:keepLines/>
              <w:spacing w:after="0"/>
              <w:jc w:val="center"/>
              <w:rPr>
                <w:i/>
                <w:sz w:val="18"/>
                <w:szCs w:val="18"/>
              </w:rPr>
            </w:pPr>
          </w:p>
        </w:tc>
        <w:tc>
          <w:tcPr>
            <w:tcW w:w="1768" w:type="dxa"/>
            <w:tcBorders>
              <w:left w:val="single" w:sz="4" w:space="0" w:color="000000" w:themeColor="text1"/>
              <w:right w:val="double" w:sz="4" w:space="0" w:color="auto"/>
            </w:tcBorders>
            <w:shd w:val="clear" w:color="auto" w:fill="BFBFBF" w:themeFill="background1" w:themeFillShade="BF"/>
            <w:vAlign w:val="center"/>
          </w:tcPr>
          <w:p w14:paraId="106BEC0D" w14:textId="77777777" w:rsidR="00D77F89" w:rsidRPr="00FA636E" w:rsidRDefault="00D77F89" w:rsidP="00827EB2">
            <w:pPr>
              <w:keepNext/>
              <w:keepLines/>
              <w:spacing w:after="0"/>
              <w:jc w:val="center"/>
              <w:rPr>
                <w:i/>
                <w:sz w:val="18"/>
                <w:szCs w:val="18"/>
              </w:rPr>
            </w:pPr>
          </w:p>
        </w:tc>
        <w:tc>
          <w:tcPr>
            <w:tcW w:w="2584" w:type="dxa"/>
            <w:tcBorders>
              <w:left w:val="double" w:sz="4" w:space="0" w:color="auto"/>
              <w:right w:val="single" w:sz="12" w:space="0" w:color="000000" w:themeColor="text1"/>
            </w:tcBorders>
            <w:shd w:val="clear" w:color="auto" w:fill="BFBFBF" w:themeFill="background1" w:themeFillShade="BF"/>
            <w:vAlign w:val="center"/>
          </w:tcPr>
          <w:p w14:paraId="174B766F" w14:textId="77777777" w:rsidR="00D77F89" w:rsidRPr="00FA636E" w:rsidRDefault="00D77F89" w:rsidP="00827EB2">
            <w:pPr>
              <w:keepNext/>
              <w:keepLines/>
              <w:spacing w:after="0"/>
              <w:jc w:val="center"/>
              <w:rPr>
                <w:i/>
                <w:sz w:val="18"/>
                <w:szCs w:val="18"/>
              </w:rPr>
            </w:pPr>
          </w:p>
        </w:tc>
      </w:tr>
      <w:tr w:rsidR="005D2319" w:rsidRPr="001B05A5" w14:paraId="35503C1E" w14:textId="77777777" w:rsidTr="00827EB2">
        <w:trPr>
          <w:jc w:val="center"/>
        </w:trPr>
        <w:tc>
          <w:tcPr>
            <w:tcW w:w="3258" w:type="dxa"/>
            <w:tcBorders>
              <w:left w:val="single" w:sz="12" w:space="0" w:color="000000" w:themeColor="text1"/>
              <w:bottom w:val="single" w:sz="12" w:space="0" w:color="000000" w:themeColor="text1"/>
            </w:tcBorders>
            <w:vAlign w:val="center"/>
          </w:tcPr>
          <w:p w14:paraId="58D4FC65" w14:textId="77777777" w:rsidR="00D77F89" w:rsidRPr="004377D6" w:rsidRDefault="00D77F89" w:rsidP="00827EB2">
            <w:pPr>
              <w:keepNext/>
              <w:keepLines/>
              <w:spacing w:after="0"/>
              <w:jc w:val="left"/>
              <w:rPr>
                <w:b/>
                <w:sz w:val="18"/>
                <w:szCs w:val="18"/>
              </w:rPr>
            </w:pPr>
            <w:r w:rsidRPr="004377D6">
              <w:rPr>
                <w:b/>
                <w:sz w:val="18"/>
                <w:szCs w:val="18"/>
              </w:rPr>
              <w:t>Total</w:t>
            </w:r>
          </w:p>
        </w:tc>
        <w:tc>
          <w:tcPr>
            <w:tcW w:w="1768" w:type="dxa"/>
            <w:tcBorders>
              <w:bottom w:val="single" w:sz="12" w:space="0" w:color="000000" w:themeColor="text1"/>
              <w:right w:val="double" w:sz="4" w:space="0" w:color="auto"/>
            </w:tcBorders>
            <w:vAlign w:val="center"/>
          </w:tcPr>
          <w:p w14:paraId="7DE39557" w14:textId="77777777" w:rsidR="00D77F89" w:rsidRPr="004377D6" w:rsidRDefault="00D77F89" w:rsidP="00827EB2">
            <w:pPr>
              <w:keepNext/>
              <w:keepLines/>
              <w:spacing w:after="0"/>
              <w:jc w:val="center"/>
              <w:rPr>
                <w:b/>
                <w:sz w:val="18"/>
                <w:szCs w:val="18"/>
              </w:rPr>
            </w:pPr>
            <w:r w:rsidRPr="004377D6">
              <w:rPr>
                <w:b/>
                <w:sz w:val="18"/>
                <w:szCs w:val="18"/>
              </w:rPr>
              <w:t>169</w:t>
            </w:r>
          </w:p>
        </w:tc>
        <w:tc>
          <w:tcPr>
            <w:tcW w:w="1768" w:type="dxa"/>
            <w:tcBorders>
              <w:left w:val="double" w:sz="4" w:space="0" w:color="auto"/>
              <w:bottom w:val="single" w:sz="12" w:space="0" w:color="000000" w:themeColor="text1"/>
            </w:tcBorders>
            <w:shd w:val="clear" w:color="auto" w:fill="BFBFBF" w:themeFill="background1" w:themeFillShade="BF"/>
            <w:vAlign w:val="center"/>
          </w:tcPr>
          <w:p w14:paraId="1EE524F7" w14:textId="77777777" w:rsidR="00D77F89" w:rsidRPr="001B05A5" w:rsidRDefault="00D77F89" w:rsidP="00827EB2">
            <w:pPr>
              <w:keepNext/>
              <w:keepLines/>
              <w:spacing w:after="0"/>
              <w:jc w:val="center"/>
              <w:rPr>
                <w:sz w:val="18"/>
                <w:szCs w:val="18"/>
              </w:rPr>
            </w:pPr>
          </w:p>
        </w:tc>
        <w:tc>
          <w:tcPr>
            <w:tcW w:w="1768" w:type="dxa"/>
            <w:tcBorders>
              <w:bottom w:val="single" w:sz="12" w:space="0" w:color="000000" w:themeColor="text1"/>
              <w:right w:val="single" w:sz="4" w:space="0" w:color="000000" w:themeColor="text1"/>
            </w:tcBorders>
            <w:shd w:val="clear" w:color="auto" w:fill="BFBFBF" w:themeFill="background1" w:themeFillShade="BF"/>
            <w:vAlign w:val="center"/>
          </w:tcPr>
          <w:p w14:paraId="57C7E308" w14:textId="77777777" w:rsidR="00D77F89" w:rsidRPr="001B05A5" w:rsidRDefault="00D77F89" w:rsidP="00827EB2">
            <w:pPr>
              <w:keepNext/>
              <w:keepLines/>
              <w:spacing w:after="0"/>
              <w:jc w:val="center"/>
              <w:rPr>
                <w:sz w:val="18"/>
                <w:szCs w:val="18"/>
              </w:rPr>
            </w:pPr>
          </w:p>
        </w:tc>
        <w:tc>
          <w:tcPr>
            <w:tcW w:w="1768" w:type="dxa"/>
            <w:tcBorders>
              <w:left w:val="single" w:sz="4" w:space="0" w:color="000000" w:themeColor="text1"/>
              <w:bottom w:val="single" w:sz="12" w:space="0" w:color="000000" w:themeColor="text1"/>
              <w:right w:val="double" w:sz="4" w:space="0" w:color="auto"/>
            </w:tcBorders>
            <w:shd w:val="clear" w:color="auto" w:fill="BFBFBF" w:themeFill="background1" w:themeFillShade="BF"/>
            <w:vAlign w:val="center"/>
          </w:tcPr>
          <w:p w14:paraId="2A5D98CD" w14:textId="77777777" w:rsidR="00D77F89" w:rsidRPr="001B05A5" w:rsidRDefault="00D77F89" w:rsidP="00827EB2">
            <w:pPr>
              <w:keepNext/>
              <w:keepLines/>
              <w:spacing w:after="0"/>
              <w:jc w:val="center"/>
              <w:rPr>
                <w:sz w:val="18"/>
                <w:szCs w:val="18"/>
              </w:rPr>
            </w:pPr>
          </w:p>
        </w:tc>
        <w:tc>
          <w:tcPr>
            <w:tcW w:w="2584" w:type="dxa"/>
            <w:tcBorders>
              <w:left w:val="double" w:sz="4" w:space="0" w:color="auto"/>
              <w:bottom w:val="single" w:sz="12" w:space="0" w:color="000000" w:themeColor="text1"/>
              <w:right w:val="single" w:sz="12" w:space="0" w:color="000000" w:themeColor="text1"/>
            </w:tcBorders>
            <w:shd w:val="clear" w:color="auto" w:fill="BFBFBF" w:themeFill="background1" w:themeFillShade="BF"/>
            <w:vAlign w:val="center"/>
          </w:tcPr>
          <w:p w14:paraId="63BBC3B7" w14:textId="77777777" w:rsidR="00D77F89" w:rsidRPr="001B05A5" w:rsidRDefault="00D77F89" w:rsidP="00827EB2">
            <w:pPr>
              <w:keepNext/>
              <w:keepLines/>
              <w:spacing w:after="0"/>
              <w:jc w:val="center"/>
              <w:rPr>
                <w:sz w:val="18"/>
                <w:szCs w:val="18"/>
              </w:rPr>
            </w:pPr>
          </w:p>
        </w:tc>
      </w:tr>
    </w:tbl>
    <w:p w14:paraId="621F0F4E" w14:textId="77777777" w:rsidR="0048753E" w:rsidRDefault="0048753E" w:rsidP="00070F33">
      <w:pPr>
        <w:keepNext/>
        <w:keepLines/>
        <w:spacing w:after="40" w:line="240" w:lineRule="auto"/>
        <w:jc w:val="left"/>
        <w:rPr>
          <w:sz w:val="20"/>
          <w:szCs w:val="20"/>
        </w:rPr>
      </w:pPr>
      <w:r w:rsidRPr="006A6CEC">
        <w:rPr>
          <w:i/>
          <w:sz w:val="20"/>
          <w:szCs w:val="20"/>
        </w:rPr>
        <w:t>Source</w:t>
      </w:r>
      <w:r>
        <w:rPr>
          <w:sz w:val="20"/>
          <w:szCs w:val="20"/>
        </w:rPr>
        <w:t xml:space="preserve">: </w:t>
      </w:r>
      <w:r w:rsidR="006A6CEC">
        <w:rPr>
          <w:sz w:val="20"/>
          <w:szCs w:val="20"/>
        </w:rPr>
        <w:t>Fraunhofer. “Energy Consumpti</w:t>
      </w:r>
      <w:r w:rsidR="002B0092">
        <w:rPr>
          <w:sz w:val="20"/>
          <w:szCs w:val="20"/>
        </w:rPr>
        <w:t>on of Consumer Electronics in US</w:t>
      </w:r>
      <w:r w:rsidR="006A6CEC">
        <w:rPr>
          <w:sz w:val="20"/>
          <w:szCs w:val="20"/>
        </w:rPr>
        <w:t xml:space="preserve"> Homes in 2013.” </w:t>
      </w:r>
    </w:p>
    <w:p w14:paraId="5C9B1D51" w14:textId="77777777" w:rsidR="00360181" w:rsidRDefault="00827EB2" w:rsidP="00070F33">
      <w:pPr>
        <w:keepNext/>
        <w:keepLines/>
        <w:spacing w:after="40" w:line="240" w:lineRule="auto"/>
        <w:jc w:val="left"/>
        <w:rPr>
          <w:sz w:val="20"/>
          <w:szCs w:val="20"/>
        </w:rPr>
      </w:pPr>
      <w:r w:rsidRPr="00827EB2">
        <w:rPr>
          <w:i/>
          <w:sz w:val="20"/>
          <w:szCs w:val="20"/>
        </w:rPr>
        <w:t>Note</w:t>
      </w:r>
      <w:r>
        <w:rPr>
          <w:sz w:val="20"/>
          <w:szCs w:val="20"/>
        </w:rPr>
        <w:t>: While figures are drawn from or based on Fraunhofer’s publication</w:t>
      </w:r>
      <w:r w:rsidR="00234C15">
        <w:rPr>
          <w:sz w:val="20"/>
          <w:szCs w:val="20"/>
        </w:rPr>
        <w:t>, t</w:t>
      </w:r>
      <w:r>
        <w:rPr>
          <w:sz w:val="20"/>
          <w:szCs w:val="20"/>
        </w:rPr>
        <w:t>he reader may note that some of these figures do not perfectly align with other figures presented in later sections of the report. This is as a result of the varying assumptions and test</w:t>
      </w:r>
      <w:r w:rsidR="00F64DD4">
        <w:rPr>
          <w:sz w:val="20"/>
          <w:szCs w:val="20"/>
        </w:rPr>
        <w:t>ing</w:t>
      </w:r>
      <w:r>
        <w:rPr>
          <w:sz w:val="20"/>
          <w:szCs w:val="20"/>
        </w:rPr>
        <w:t xml:space="preserve"> methods </w:t>
      </w:r>
      <w:r w:rsidR="00891BC1">
        <w:rPr>
          <w:sz w:val="20"/>
          <w:szCs w:val="20"/>
        </w:rPr>
        <w:t xml:space="preserve">that </w:t>
      </w:r>
      <w:r>
        <w:rPr>
          <w:sz w:val="20"/>
          <w:szCs w:val="20"/>
        </w:rPr>
        <w:t>researchers used to estimate energy consumption.</w:t>
      </w:r>
      <w:r w:rsidR="00F64DD4">
        <w:rPr>
          <w:sz w:val="20"/>
          <w:szCs w:val="20"/>
        </w:rPr>
        <w:t xml:space="preserve"> In following sections, NMR made every attempt to focus on a single source for each savings measure explored</w:t>
      </w:r>
      <w:r w:rsidR="00234C15">
        <w:rPr>
          <w:sz w:val="20"/>
          <w:szCs w:val="20"/>
        </w:rPr>
        <w:t>.</w:t>
      </w:r>
    </w:p>
    <w:p w14:paraId="45C0A18A" w14:textId="77777777" w:rsidR="00ED44BA" w:rsidRDefault="00F64DD4" w:rsidP="00070F33">
      <w:pPr>
        <w:keepNext/>
        <w:keepLines/>
        <w:spacing w:after="40" w:line="240" w:lineRule="auto"/>
        <w:jc w:val="left"/>
        <w:rPr>
          <w:sz w:val="20"/>
          <w:szCs w:val="20"/>
        </w:rPr>
      </w:pPr>
      <w:r>
        <w:rPr>
          <w:sz w:val="20"/>
          <w:szCs w:val="20"/>
        </w:rPr>
        <w:t>*</w:t>
      </w:r>
      <w:r w:rsidR="006A6CEC">
        <w:rPr>
          <w:sz w:val="20"/>
          <w:szCs w:val="20"/>
        </w:rPr>
        <w:t xml:space="preserve"> </w:t>
      </w:r>
      <w:r w:rsidR="008D5A63">
        <w:rPr>
          <w:sz w:val="20"/>
          <w:szCs w:val="20"/>
        </w:rPr>
        <w:t>NMR</w:t>
      </w:r>
      <w:r w:rsidR="008D5A63" w:rsidRPr="008D5A63">
        <w:rPr>
          <w:sz w:val="20"/>
          <w:szCs w:val="20"/>
        </w:rPr>
        <w:t xml:space="preserve"> estimate</w:t>
      </w:r>
      <w:r w:rsidR="00930A8F">
        <w:rPr>
          <w:sz w:val="20"/>
          <w:szCs w:val="20"/>
        </w:rPr>
        <w:t>d these figures</w:t>
      </w:r>
      <w:r w:rsidR="008D5A63" w:rsidRPr="008D5A63">
        <w:rPr>
          <w:sz w:val="20"/>
          <w:szCs w:val="20"/>
        </w:rPr>
        <w:t xml:space="preserve"> using Fraunhofer’s research</w:t>
      </w:r>
      <w:r w:rsidR="00930A8F">
        <w:rPr>
          <w:sz w:val="20"/>
          <w:szCs w:val="20"/>
        </w:rPr>
        <w:t xml:space="preserve"> results</w:t>
      </w:r>
      <w:r w:rsidR="00E90EB4">
        <w:rPr>
          <w:sz w:val="20"/>
          <w:szCs w:val="20"/>
        </w:rPr>
        <w:t xml:space="preserve"> </w:t>
      </w:r>
      <w:r w:rsidR="00891BC1">
        <w:rPr>
          <w:sz w:val="20"/>
          <w:szCs w:val="20"/>
        </w:rPr>
        <w:t xml:space="preserve">by </w:t>
      </w:r>
      <w:r w:rsidR="00E90EB4">
        <w:rPr>
          <w:sz w:val="20"/>
          <w:szCs w:val="20"/>
        </w:rPr>
        <w:t>employing</w:t>
      </w:r>
      <w:r w:rsidR="00930A8F">
        <w:rPr>
          <w:sz w:val="20"/>
          <w:szCs w:val="20"/>
        </w:rPr>
        <w:t xml:space="preserve"> the following formula</w:t>
      </w:r>
      <w:r w:rsidR="0084423C">
        <w:rPr>
          <w:sz w:val="20"/>
          <w:szCs w:val="20"/>
        </w:rPr>
        <w:t>s</w:t>
      </w:r>
      <w:r w:rsidR="00827EB2">
        <w:rPr>
          <w:sz w:val="20"/>
          <w:szCs w:val="20"/>
        </w:rPr>
        <w:t>:</w:t>
      </w:r>
      <w:r w:rsidR="00930A8F">
        <w:rPr>
          <w:sz w:val="20"/>
          <w:szCs w:val="20"/>
        </w:rPr>
        <w:t xml:space="preserve"> </w:t>
      </w:r>
      <w:r w:rsidR="007F3925">
        <w:rPr>
          <w:sz w:val="20"/>
          <w:szCs w:val="20"/>
        </w:rPr>
        <w:t xml:space="preserve">[Installed Base / 119M Households = Number of </w:t>
      </w:r>
      <w:r w:rsidR="00827EB2">
        <w:rPr>
          <w:sz w:val="20"/>
          <w:szCs w:val="20"/>
        </w:rPr>
        <w:t>Units</w:t>
      </w:r>
      <w:r w:rsidR="007F3925">
        <w:rPr>
          <w:sz w:val="20"/>
          <w:szCs w:val="20"/>
        </w:rPr>
        <w:t xml:space="preserve"> per Household]</w:t>
      </w:r>
      <w:r w:rsidR="00CA6B42">
        <w:rPr>
          <w:sz w:val="20"/>
          <w:szCs w:val="20"/>
        </w:rPr>
        <w:t xml:space="preserve"> and</w:t>
      </w:r>
      <w:r w:rsidR="0084423C">
        <w:rPr>
          <w:sz w:val="20"/>
          <w:szCs w:val="20"/>
        </w:rPr>
        <w:t xml:space="preserve"> [UEC * </w:t>
      </w:r>
      <w:r w:rsidR="00CA6B42">
        <w:rPr>
          <w:sz w:val="20"/>
          <w:szCs w:val="20"/>
        </w:rPr>
        <w:t xml:space="preserve">Number of Devices per Household = </w:t>
      </w:r>
      <w:r w:rsidR="0084423C">
        <w:rPr>
          <w:sz w:val="20"/>
          <w:szCs w:val="20"/>
        </w:rPr>
        <w:t xml:space="preserve">Household </w:t>
      </w:r>
      <w:r w:rsidR="00827EB2">
        <w:rPr>
          <w:sz w:val="20"/>
          <w:szCs w:val="20"/>
        </w:rPr>
        <w:t xml:space="preserve">Energy </w:t>
      </w:r>
      <w:r w:rsidR="0084423C">
        <w:rPr>
          <w:sz w:val="20"/>
          <w:szCs w:val="20"/>
        </w:rPr>
        <w:t>Consumption]</w:t>
      </w:r>
      <w:r w:rsidR="00E90EB4">
        <w:rPr>
          <w:sz w:val="20"/>
          <w:szCs w:val="20"/>
        </w:rPr>
        <w:t>. NMR’s</w:t>
      </w:r>
      <w:r w:rsidR="00E90EB4" w:rsidRPr="008D5A63">
        <w:rPr>
          <w:sz w:val="20"/>
          <w:szCs w:val="20"/>
        </w:rPr>
        <w:t xml:space="preserve"> figures should be interpreted with caution because </w:t>
      </w:r>
      <w:r>
        <w:rPr>
          <w:sz w:val="20"/>
          <w:szCs w:val="20"/>
        </w:rPr>
        <w:t>they rely on secondary data and may not take into account</w:t>
      </w:r>
      <w:r w:rsidR="00E90EB4" w:rsidRPr="008D5A63">
        <w:rPr>
          <w:sz w:val="20"/>
          <w:szCs w:val="20"/>
        </w:rPr>
        <w:t xml:space="preserve"> the complexities </w:t>
      </w:r>
      <w:r w:rsidR="00234C15">
        <w:rPr>
          <w:sz w:val="20"/>
          <w:szCs w:val="20"/>
        </w:rPr>
        <w:t xml:space="preserve">that would be </w:t>
      </w:r>
      <w:r w:rsidR="00E90EB4" w:rsidRPr="008D5A63">
        <w:rPr>
          <w:sz w:val="20"/>
          <w:szCs w:val="20"/>
        </w:rPr>
        <w:t xml:space="preserve">involved in </w:t>
      </w:r>
      <w:r w:rsidR="00234C15">
        <w:rPr>
          <w:sz w:val="20"/>
          <w:szCs w:val="20"/>
        </w:rPr>
        <w:t>creating estimates from primary data sources</w:t>
      </w:r>
      <w:r w:rsidR="00E90EB4">
        <w:rPr>
          <w:sz w:val="20"/>
          <w:szCs w:val="20"/>
        </w:rPr>
        <w:t>.</w:t>
      </w:r>
    </w:p>
    <w:p w14:paraId="0A02014E" w14:textId="77777777" w:rsidR="005D2319" w:rsidRDefault="005D2319" w:rsidP="002476BE"/>
    <w:p w14:paraId="09F8BC78" w14:textId="77777777" w:rsidR="009D3B67" w:rsidRDefault="009D3B67" w:rsidP="002476BE">
      <w:pPr>
        <w:sectPr w:rsidR="009D3B67" w:rsidSect="004C67E5">
          <w:headerReference w:type="default" r:id="rId24"/>
          <w:pgSz w:w="15840" w:h="12240" w:orient="landscape"/>
          <w:pgMar w:top="1440" w:right="1440" w:bottom="1440" w:left="1440" w:header="720" w:footer="720" w:gutter="0"/>
          <w:cols w:space="720"/>
          <w:docGrid w:linePitch="360"/>
        </w:sectPr>
      </w:pPr>
    </w:p>
    <w:p w14:paraId="266304BD" w14:textId="77777777" w:rsidR="00C16110" w:rsidRDefault="00C16110" w:rsidP="00D31F95">
      <w:pPr>
        <w:pStyle w:val="Heading2"/>
      </w:pPr>
      <w:bookmarkStart w:id="21" w:name="_Ref396908908"/>
      <w:bookmarkStart w:id="22" w:name="_Toc401667842"/>
      <w:r>
        <w:lastRenderedPageBreak/>
        <w:t>Specifications</w:t>
      </w:r>
      <w:r w:rsidR="00B2105F">
        <w:t>, Recognitions, and Standards</w:t>
      </w:r>
      <w:bookmarkEnd w:id="21"/>
      <w:bookmarkEnd w:id="22"/>
      <w:r w:rsidR="00B2105F">
        <w:t xml:space="preserve"> </w:t>
      </w:r>
    </w:p>
    <w:p w14:paraId="3FB98287" w14:textId="77777777" w:rsidR="00AD6792" w:rsidRDefault="00AD6792" w:rsidP="001E30FE">
      <w:pPr>
        <w:keepNext/>
        <w:keepLines/>
      </w:pPr>
      <w:r>
        <w:t xml:space="preserve">In considering a consumer electronics program, the </w:t>
      </w:r>
      <w:r w:rsidR="002B0092">
        <w:t>EEB</w:t>
      </w:r>
      <w:r>
        <w:t xml:space="preserve"> should </w:t>
      </w:r>
      <w:r w:rsidR="00F64DD4">
        <w:t>be aware of</w:t>
      </w:r>
      <w:r>
        <w:t xml:space="preserve"> voluntary specification</w:t>
      </w:r>
      <w:r w:rsidR="004164F2">
        <w:t>s</w:t>
      </w:r>
      <w:r>
        <w:t xml:space="preserve"> and standards. </w:t>
      </w:r>
      <w:r w:rsidR="00F64DD4">
        <w:t>Factoring</w:t>
      </w:r>
      <w:r>
        <w:t xml:space="preserve"> these</w:t>
      </w:r>
      <w:r w:rsidR="00F64DD4">
        <w:t xml:space="preserve"> efforts</w:t>
      </w:r>
      <w:r>
        <w:t xml:space="preserve"> into </w:t>
      </w:r>
      <w:r w:rsidR="00112BE6">
        <w:t xml:space="preserve">a </w:t>
      </w:r>
      <w:r w:rsidR="00F64DD4">
        <w:t>program</w:t>
      </w:r>
      <w:r w:rsidR="004164F2">
        <w:t>-</w:t>
      </w:r>
      <w:r>
        <w:t>planning process reduces possibilities of free ridership and redundancy, increase</w:t>
      </w:r>
      <w:r w:rsidR="00A917D2">
        <w:t>s</w:t>
      </w:r>
      <w:r>
        <w:t xml:space="preserve"> savings opportunities, and streamline</w:t>
      </w:r>
      <w:r w:rsidR="00A917D2">
        <w:t>s</w:t>
      </w:r>
      <w:r>
        <w:t xml:space="preserve"> programs by leveraging specification structures.</w:t>
      </w:r>
    </w:p>
    <w:p w14:paraId="4AD153E7" w14:textId="7F67D987" w:rsidR="00673B1B" w:rsidRPr="000E613C" w:rsidRDefault="00194B62" w:rsidP="00673B1B">
      <w:pPr>
        <w:pStyle w:val="ListParagraph"/>
        <w:keepNext/>
        <w:keepLines/>
        <w:numPr>
          <w:ilvl w:val="0"/>
          <w:numId w:val="25"/>
        </w:numPr>
      </w:pPr>
      <w:r w:rsidRPr="00673B1B">
        <w:rPr>
          <w:b/>
        </w:rPr>
        <w:t>Specifications</w:t>
      </w:r>
      <w:r w:rsidR="000E613C" w:rsidRPr="00673B1B">
        <w:rPr>
          <w:b/>
        </w:rPr>
        <w:t xml:space="preserve"> and Recognition</w:t>
      </w:r>
      <w:r w:rsidR="00FA5647" w:rsidRPr="00673B1B">
        <w:rPr>
          <w:b/>
        </w:rPr>
        <w:t xml:space="preserve"> Effort</w:t>
      </w:r>
      <w:r w:rsidR="000E613C" w:rsidRPr="00673B1B">
        <w:rPr>
          <w:b/>
        </w:rPr>
        <w:t>s</w:t>
      </w:r>
      <w:r w:rsidRPr="00673B1B">
        <w:rPr>
          <w:b/>
        </w:rPr>
        <w:t>.</w:t>
      </w:r>
      <w:r>
        <w:t xml:space="preserve"> </w:t>
      </w:r>
      <w:r w:rsidR="004164F2">
        <w:t>Models are rewarded with the</w:t>
      </w:r>
      <w:r w:rsidR="009F6AD2">
        <w:t xml:space="preserve"> </w:t>
      </w:r>
      <w:r w:rsidR="00F20B2E">
        <w:t xml:space="preserve">ENERGY STAR </w:t>
      </w:r>
      <w:r w:rsidR="004164F2">
        <w:t xml:space="preserve">label if they meet </w:t>
      </w:r>
      <w:r w:rsidR="009F6AD2">
        <w:t xml:space="preserve">ENERGY STAR </w:t>
      </w:r>
      <w:r w:rsidR="004164F2">
        <w:t>specifications</w:t>
      </w:r>
      <w:r w:rsidR="009F6AD2">
        <w:t>.</w:t>
      </w:r>
      <w:r w:rsidR="005D7DF4">
        <w:rPr>
          <w:rStyle w:val="FootnoteReference"/>
        </w:rPr>
        <w:footnoteReference w:id="11"/>
      </w:r>
      <w:r w:rsidR="009F6AD2">
        <w:t xml:space="preserve"> ENERGY STAR </w:t>
      </w:r>
      <w:r w:rsidR="00F20B2E">
        <w:t>addresses all of the product categories examined in this report</w:t>
      </w:r>
      <w:r w:rsidR="00246274">
        <w:t xml:space="preserve">: It has specifications for </w:t>
      </w:r>
      <w:r>
        <w:t>TVs, STBs, PCs</w:t>
      </w:r>
      <w:r w:rsidR="00A917D2">
        <w:t>, and network equipment</w:t>
      </w:r>
      <w:r w:rsidR="00246274">
        <w:t xml:space="preserve"> and has a recognition program for </w:t>
      </w:r>
      <w:r w:rsidR="00F20B2E">
        <w:t xml:space="preserve">game consoles. </w:t>
      </w:r>
      <w:r w:rsidR="004E4ED8">
        <w:t>It</w:t>
      </w:r>
      <w:r>
        <w:t xml:space="preserve"> is</w:t>
      </w:r>
      <w:r w:rsidR="00F20B2E">
        <w:t xml:space="preserve"> currently in the process of </w:t>
      </w:r>
      <w:r w:rsidR="0080070C">
        <w:t>enhancing</w:t>
      </w:r>
      <w:r w:rsidR="00F20B2E">
        <w:t xml:space="preserve"> specifications for TVs and PCs and </w:t>
      </w:r>
      <w:r w:rsidR="0080070C">
        <w:t xml:space="preserve">recently advanced STB </w:t>
      </w:r>
      <w:r w:rsidR="00F20B2E">
        <w:t>specifications</w:t>
      </w:r>
      <w:r w:rsidR="004164F2">
        <w:t>,</w:t>
      </w:r>
      <w:r w:rsidR="00F20B2E">
        <w:t xml:space="preserve"> </w:t>
      </w:r>
      <w:r w:rsidR="0080070C">
        <w:t>which</w:t>
      </w:r>
      <w:r w:rsidR="00F20B2E">
        <w:t xml:space="preserve"> will go into effect </w:t>
      </w:r>
      <w:r w:rsidR="004164F2">
        <w:t xml:space="preserve">in </w:t>
      </w:r>
      <w:r w:rsidR="00F20B2E">
        <w:t xml:space="preserve">December </w:t>
      </w:r>
      <w:r w:rsidR="004164F2">
        <w:t xml:space="preserve">of </w:t>
      </w:r>
      <w:r w:rsidR="00F20B2E">
        <w:t>2014.</w:t>
      </w:r>
      <w:r w:rsidR="0080070C">
        <w:rPr>
          <w:rStyle w:val="FootnoteReference"/>
        </w:rPr>
        <w:footnoteReference w:id="12"/>
      </w:r>
      <w:r w:rsidR="008D7EEB" w:rsidRPr="00673B1B">
        <w:rPr>
          <w:vertAlign w:val="superscript"/>
        </w:rPr>
        <w:t>,</w:t>
      </w:r>
      <w:r w:rsidR="00246274">
        <w:rPr>
          <w:rStyle w:val="FootnoteReference"/>
        </w:rPr>
        <w:footnoteReference w:id="13"/>
      </w:r>
      <w:r w:rsidR="0080070C">
        <w:t xml:space="preserve"> </w:t>
      </w:r>
      <w:r w:rsidR="000E613C">
        <w:t>For recognition of the most efficient models on the market</w:t>
      </w:r>
      <w:r w:rsidR="00613D13">
        <w:t>,</w:t>
      </w:r>
      <w:r w:rsidR="000E613C">
        <w:t xml:space="preserve"> </w:t>
      </w:r>
      <w:r w:rsidR="00B37864">
        <w:t>ENERGY STAR addresses TVs in its Most Efficient products lists.</w:t>
      </w:r>
      <w:r w:rsidR="00B37864">
        <w:rPr>
          <w:rStyle w:val="FootnoteReference"/>
        </w:rPr>
        <w:footnoteReference w:id="14"/>
      </w:r>
      <w:r w:rsidR="00B37864" w:rsidRPr="00673B1B">
        <w:rPr>
          <w:vertAlign w:val="superscript"/>
        </w:rPr>
        <w:t xml:space="preserve">, </w:t>
      </w:r>
      <w:r w:rsidR="00B37864">
        <w:rPr>
          <w:rStyle w:val="FootnoteReference"/>
        </w:rPr>
        <w:footnoteReference w:id="15"/>
      </w:r>
    </w:p>
    <w:p w14:paraId="5B8C9D1B" w14:textId="77777777" w:rsidR="005E3317" w:rsidRPr="00673B1B" w:rsidRDefault="00194B62" w:rsidP="00673B1B">
      <w:pPr>
        <w:pStyle w:val="ListParagraph"/>
        <w:keepNext/>
        <w:keepLines/>
        <w:numPr>
          <w:ilvl w:val="0"/>
          <w:numId w:val="25"/>
        </w:numPr>
        <w:rPr>
          <w:vertAlign w:val="superscript"/>
        </w:rPr>
      </w:pPr>
      <w:r w:rsidRPr="00673B1B">
        <w:rPr>
          <w:b/>
        </w:rPr>
        <w:t>Voluntary Standards.</w:t>
      </w:r>
      <w:r>
        <w:t xml:space="preserve"> </w:t>
      </w:r>
      <w:r w:rsidR="009F6AD2">
        <w:t xml:space="preserve">Voluntary standards are those </w:t>
      </w:r>
      <w:r w:rsidR="00673B1B">
        <w:t>that</w:t>
      </w:r>
      <w:r w:rsidR="009F6AD2">
        <w:t xml:space="preserve"> are agreed to by participating entities but have no legal or other ramifications </w:t>
      </w:r>
      <w:r w:rsidR="006901AE">
        <w:t>if not</w:t>
      </w:r>
      <w:r w:rsidR="009F6AD2">
        <w:t xml:space="preserve"> met by the</w:t>
      </w:r>
      <w:r w:rsidR="00112BE6">
        <w:t>ir</w:t>
      </w:r>
      <w:r w:rsidR="009F6AD2">
        <w:t xml:space="preserve"> signatories. </w:t>
      </w:r>
      <w:r>
        <w:t>One highly publicized initiative</w:t>
      </w:r>
      <w:r w:rsidR="0017308C">
        <w:t xml:space="preserve">, finalized in December </w:t>
      </w:r>
      <w:r w:rsidR="00673B1B">
        <w:t xml:space="preserve">of </w:t>
      </w:r>
      <w:r w:rsidR="004C2A8B">
        <w:t>2013</w:t>
      </w:r>
      <w:r>
        <w:t>, targets the advancement of energy efficiency</w:t>
      </w:r>
      <w:r w:rsidR="007F403E">
        <w:t xml:space="preserve"> for STBs</w:t>
      </w:r>
      <w:r w:rsidR="00952632">
        <w:t xml:space="preserve"> through voluntary standards</w:t>
      </w:r>
      <w:r w:rsidR="007F403E">
        <w:t>.</w:t>
      </w:r>
      <w:r w:rsidR="00952632">
        <w:t xml:space="preserve"> The </w:t>
      </w:r>
      <w:r w:rsidR="002B0092">
        <w:t>US</w:t>
      </w:r>
      <w:r w:rsidR="005E3317">
        <w:t xml:space="preserve"> </w:t>
      </w:r>
      <w:r w:rsidR="00A917D2">
        <w:t>Department of Energy</w:t>
      </w:r>
      <w:r w:rsidR="00112BE6">
        <w:t xml:space="preserve"> (DOE)</w:t>
      </w:r>
      <w:r w:rsidR="005E3317">
        <w:t>, media service providers, device manufacturers, other industry representatives, and energy efficiency advocates</w:t>
      </w:r>
      <w:r w:rsidR="000E613C">
        <w:t xml:space="preserve"> signed the Set-top Box Energy Conservation Agreement</w:t>
      </w:r>
      <w:r w:rsidR="005E3317">
        <w:t xml:space="preserve">. </w:t>
      </w:r>
      <w:r w:rsidR="0017308C">
        <w:t xml:space="preserve">The agreement </w:t>
      </w:r>
      <w:r w:rsidR="0017308C" w:rsidRPr="0017308C">
        <w:t>obligates</w:t>
      </w:r>
      <w:r w:rsidR="0017308C">
        <w:t xml:space="preserve"> service provider and manufacturer signatories to encourage and improve the energy efficiency of STBs through a number of means. Specifically, th</w:t>
      </w:r>
      <w:r w:rsidR="00673B1B">
        <w:t>is</w:t>
      </w:r>
      <w:r w:rsidR="0017308C">
        <w:t xml:space="preserve"> agreement </w:t>
      </w:r>
      <w:r w:rsidR="00984CC4">
        <w:t xml:space="preserve">requires </w:t>
      </w:r>
      <w:r w:rsidR="005E3317">
        <w:t>that</w:t>
      </w:r>
      <w:r w:rsidR="00984CC4">
        <w:t xml:space="preserve">, </w:t>
      </w:r>
      <w:r w:rsidR="005E3317">
        <w:t>starting in 2014, a</w:t>
      </w:r>
      <w:r w:rsidR="00984CC4">
        <w:t>t</w:t>
      </w:r>
      <w:r w:rsidR="005E3317">
        <w:t xml:space="preserve"> </w:t>
      </w:r>
      <w:r w:rsidR="00952632">
        <w:t>least 90</w:t>
      </w:r>
      <w:r w:rsidR="005E3317">
        <w:t>%</w:t>
      </w:r>
      <w:r w:rsidR="00952632">
        <w:t xml:space="preserve"> of</w:t>
      </w:r>
      <w:r w:rsidR="005E3317">
        <w:t xml:space="preserve"> </w:t>
      </w:r>
      <w:r w:rsidR="00952632">
        <w:t xml:space="preserve">the new </w:t>
      </w:r>
      <w:r w:rsidR="005E3317">
        <w:t xml:space="preserve">STBs </w:t>
      </w:r>
      <w:r w:rsidR="00952632">
        <w:t xml:space="preserve">purchased and deployed by </w:t>
      </w:r>
      <w:r w:rsidR="005E3317">
        <w:t xml:space="preserve">participating </w:t>
      </w:r>
      <w:r w:rsidR="00984CC4">
        <w:t xml:space="preserve">companies </w:t>
      </w:r>
      <w:r w:rsidR="00952632">
        <w:t xml:space="preserve">meet ENERGY STAR </w:t>
      </w:r>
      <w:r w:rsidR="005E3317">
        <w:t xml:space="preserve">Version </w:t>
      </w:r>
      <w:r w:rsidR="00952632">
        <w:t xml:space="preserve">3.0 </w:t>
      </w:r>
      <w:r w:rsidR="00984CC4">
        <w:t>specifications.</w:t>
      </w:r>
      <w:r w:rsidR="00984CC4">
        <w:rPr>
          <w:rStyle w:val="FootnoteReference"/>
        </w:rPr>
        <w:footnoteReference w:id="16"/>
      </w:r>
      <w:r w:rsidR="00234B9D" w:rsidRPr="00673B1B">
        <w:rPr>
          <w:vertAlign w:val="superscript"/>
        </w:rPr>
        <w:t>,</w:t>
      </w:r>
      <w:r w:rsidR="00234B9D">
        <w:rPr>
          <w:rStyle w:val="FootnoteReference"/>
        </w:rPr>
        <w:footnoteReference w:id="17"/>
      </w:r>
    </w:p>
    <w:p w14:paraId="3C740CFE" w14:textId="77777777" w:rsidR="00194B62" w:rsidRDefault="00194B62" w:rsidP="00112BE6">
      <w:pPr>
        <w:pStyle w:val="ListParagraph"/>
        <w:keepLines/>
        <w:numPr>
          <w:ilvl w:val="0"/>
          <w:numId w:val="25"/>
        </w:numPr>
      </w:pPr>
      <w:r w:rsidRPr="00984CC4">
        <w:rPr>
          <w:b/>
        </w:rPr>
        <w:lastRenderedPageBreak/>
        <w:t>Mandatory Standards.</w:t>
      </w:r>
      <w:r>
        <w:t xml:space="preserve"> </w:t>
      </w:r>
      <w:r w:rsidR="00A5363D">
        <w:t>M</w:t>
      </w:r>
      <w:r w:rsidR="006901AE">
        <w:t xml:space="preserve">andatory energy efficiency standards </w:t>
      </w:r>
      <w:r w:rsidR="00A5363D">
        <w:t>prohibit models that do not meet the standards from being sold in the market within the</w:t>
      </w:r>
      <w:r w:rsidR="00112BE6">
        <w:t>ir area of</w:t>
      </w:r>
      <w:r w:rsidR="00A5363D">
        <w:t xml:space="preserve"> jurisdiction. </w:t>
      </w:r>
      <w:r>
        <w:t>According to the Appliance Sta</w:t>
      </w:r>
      <w:r w:rsidR="00226F57">
        <w:t>ndards Awareness Project</w:t>
      </w:r>
      <w:r w:rsidR="004C2A8B">
        <w:t xml:space="preserve">, </w:t>
      </w:r>
      <w:r w:rsidR="007F403E">
        <w:t xml:space="preserve">federal </w:t>
      </w:r>
      <w:r w:rsidR="00103A01">
        <w:t xml:space="preserve">minimum </w:t>
      </w:r>
      <w:r w:rsidR="004C2A8B">
        <w:t xml:space="preserve">energy efficiency standards are in place for </w:t>
      </w:r>
      <w:r w:rsidR="007F403E">
        <w:t xml:space="preserve">TVs but not for STBs, PCs, </w:t>
      </w:r>
      <w:r w:rsidR="00F53865">
        <w:t>or</w:t>
      </w:r>
      <w:r w:rsidR="007F403E">
        <w:t xml:space="preserve"> game consoles</w:t>
      </w:r>
      <w:r w:rsidR="004C2A8B">
        <w:t>.</w:t>
      </w:r>
      <w:r w:rsidR="00E0737F">
        <w:t xml:space="preserve"> </w:t>
      </w:r>
      <w:r w:rsidR="007F403E">
        <w:t>Connecticut is one of three states to have standards that surpass those of the federal government for TVs. No state stan</w:t>
      </w:r>
      <w:r w:rsidR="003B5EB7">
        <w:t>dards exist for the other three products; however,</w:t>
      </w:r>
      <w:r w:rsidR="00E0737F">
        <w:t xml:space="preserve"> California </w:t>
      </w:r>
      <w:r w:rsidR="007F403E">
        <w:t xml:space="preserve">is </w:t>
      </w:r>
      <w:r w:rsidR="00E0737F">
        <w:t>in the process of developi</w:t>
      </w:r>
      <w:r w:rsidR="007F403E">
        <w:t>ng standards for game consoles.</w:t>
      </w:r>
      <w:r w:rsidR="007F403E">
        <w:rPr>
          <w:rStyle w:val="FootnoteReference"/>
        </w:rPr>
        <w:footnoteReference w:id="18"/>
      </w:r>
      <w:r w:rsidR="00461F8E">
        <w:t xml:space="preserve"> </w:t>
      </w:r>
      <w:r w:rsidR="00AF724D">
        <w:t xml:space="preserve">Given </w:t>
      </w:r>
      <w:r w:rsidR="00A917D2">
        <w:t>that manufacturers’ products are generally sold in more than one state, standards set in one state can influence the market for products</w:t>
      </w:r>
      <w:r w:rsidR="00AF724D">
        <w:t xml:space="preserve"> sold in other states</w:t>
      </w:r>
      <w:r w:rsidR="00A917D2">
        <w:t xml:space="preserve"> by increasing the efficiency levels of all available products even in the states not directly affected by the legislation.</w:t>
      </w:r>
    </w:p>
    <w:p w14:paraId="4B235399" w14:textId="77777777" w:rsidR="003B5EB7" w:rsidRPr="00705A97" w:rsidRDefault="003B5EB7" w:rsidP="001E30FE">
      <w:pPr>
        <w:keepNext/>
        <w:keepLines/>
      </w:pPr>
      <w:r>
        <w:fldChar w:fldCharType="begin"/>
      </w:r>
      <w:r>
        <w:instrText xml:space="preserve"> REF _Ref392084542 \h </w:instrText>
      </w:r>
      <w:r>
        <w:fldChar w:fldCharType="separate"/>
      </w:r>
      <w:r w:rsidR="00302A02">
        <w:t xml:space="preserve">Table </w:t>
      </w:r>
      <w:r w:rsidR="00302A02">
        <w:rPr>
          <w:noProof/>
        </w:rPr>
        <w:t>2</w:t>
      </w:r>
      <w:r>
        <w:fldChar w:fldCharType="end"/>
      </w:r>
      <w:r w:rsidR="00E90EB4">
        <w:t xml:space="preserve"> presents additional details</w:t>
      </w:r>
      <w:r>
        <w:t xml:space="preserve"> organized by product category.</w:t>
      </w:r>
    </w:p>
    <w:p w14:paraId="254B00EE" w14:textId="77777777" w:rsidR="00AD6792" w:rsidRDefault="00AD6792" w:rsidP="001E30FE">
      <w:pPr>
        <w:pStyle w:val="Caption"/>
        <w:keepLines/>
      </w:pPr>
      <w:bookmarkStart w:id="23" w:name="_Ref392084542"/>
      <w:bookmarkStart w:id="24" w:name="_Toc400007926"/>
      <w:r>
        <w:t xml:space="preserve">Table </w:t>
      </w:r>
      <w:fldSimple w:instr=" SEQ Table \* ARABIC ">
        <w:r w:rsidR="00302A02">
          <w:rPr>
            <w:noProof/>
          </w:rPr>
          <w:t>2</w:t>
        </w:r>
      </w:fldSimple>
      <w:bookmarkEnd w:id="23"/>
      <w:r>
        <w:t xml:space="preserve">: </w:t>
      </w:r>
      <w:r w:rsidR="00827EB2">
        <w:t xml:space="preserve">Energy Efficiency </w:t>
      </w:r>
      <w:r>
        <w:t>Specifications</w:t>
      </w:r>
      <w:r w:rsidR="00705A97">
        <w:t>, Recognition</w:t>
      </w:r>
      <w:r w:rsidR="00FA5647">
        <w:t xml:space="preserve"> Effort</w:t>
      </w:r>
      <w:r w:rsidR="00705A97">
        <w:t>s,</w:t>
      </w:r>
      <w:r>
        <w:t xml:space="preserve"> and Standards by Product Category</w:t>
      </w:r>
      <w:bookmarkEnd w:id="24"/>
    </w:p>
    <w:tbl>
      <w:tblPr>
        <w:tblStyle w:val="TableGrid"/>
        <w:tblW w:w="0" w:type="auto"/>
        <w:jc w:val="center"/>
        <w:tblLook w:val="04A0" w:firstRow="1" w:lastRow="0" w:firstColumn="1" w:lastColumn="0" w:noHBand="0" w:noVBand="1"/>
      </w:tblPr>
      <w:tblGrid>
        <w:gridCol w:w="1908"/>
        <w:gridCol w:w="1908"/>
        <w:gridCol w:w="1909"/>
        <w:gridCol w:w="1908"/>
        <w:gridCol w:w="1909"/>
      </w:tblGrid>
      <w:tr w:rsidR="00921379" w:rsidRPr="001B05A5" w14:paraId="60FD76F1" w14:textId="77777777" w:rsidTr="00AF724D">
        <w:trPr>
          <w:jc w:val="center"/>
        </w:trPr>
        <w:tc>
          <w:tcPr>
            <w:tcW w:w="1908" w:type="dxa"/>
            <w:tcBorders>
              <w:top w:val="single" w:sz="12" w:space="0" w:color="000000" w:themeColor="text1"/>
              <w:left w:val="single" w:sz="12" w:space="0" w:color="000000" w:themeColor="text1"/>
              <w:bottom w:val="double" w:sz="4" w:space="0" w:color="auto"/>
            </w:tcBorders>
            <w:vAlign w:val="center"/>
          </w:tcPr>
          <w:p w14:paraId="496F76F6" w14:textId="77777777" w:rsidR="00921379" w:rsidRDefault="00AB72DB" w:rsidP="00FF3036">
            <w:pPr>
              <w:keepNext/>
              <w:keepLines/>
              <w:spacing w:after="0"/>
              <w:jc w:val="left"/>
              <w:rPr>
                <w:b/>
                <w:sz w:val="18"/>
                <w:szCs w:val="18"/>
              </w:rPr>
            </w:pPr>
            <w:r>
              <w:rPr>
                <w:b/>
                <w:sz w:val="18"/>
                <w:szCs w:val="18"/>
              </w:rPr>
              <w:t>Product Category</w:t>
            </w:r>
          </w:p>
        </w:tc>
        <w:tc>
          <w:tcPr>
            <w:tcW w:w="1908" w:type="dxa"/>
            <w:tcBorders>
              <w:top w:val="single" w:sz="12" w:space="0" w:color="000000" w:themeColor="text1"/>
              <w:left w:val="single" w:sz="12" w:space="0" w:color="000000" w:themeColor="text1"/>
              <w:bottom w:val="double" w:sz="4" w:space="0" w:color="auto"/>
            </w:tcBorders>
            <w:vAlign w:val="center"/>
          </w:tcPr>
          <w:p w14:paraId="5433A6AA" w14:textId="77777777" w:rsidR="00921379" w:rsidRDefault="00921379" w:rsidP="00FF3036">
            <w:pPr>
              <w:keepNext/>
              <w:keepLines/>
              <w:spacing w:after="0"/>
              <w:jc w:val="left"/>
              <w:rPr>
                <w:b/>
                <w:sz w:val="18"/>
                <w:szCs w:val="18"/>
              </w:rPr>
            </w:pPr>
            <w:r>
              <w:rPr>
                <w:b/>
                <w:sz w:val="18"/>
                <w:szCs w:val="18"/>
              </w:rPr>
              <w:t>ENERGY STAR</w:t>
            </w:r>
            <w:r w:rsidR="00AB72DB">
              <w:rPr>
                <w:b/>
                <w:sz w:val="18"/>
                <w:szCs w:val="18"/>
              </w:rPr>
              <w:t xml:space="preserve"> Specifications</w:t>
            </w:r>
          </w:p>
        </w:tc>
        <w:tc>
          <w:tcPr>
            <w:tcW w:w="1909" w:type="dxa"/>
            <w:tcBorders>
              <w:top w:val="single" w:sz="12" w:space="0" w:color="000000" w:themeColor="text1"/>
              <w:bottom w:val="double" w:sz="4" w:space="0" w:color="auto"/>
              <w:right w:val="single" w:sz="4" w:space="0" w:color="000000" w:themeColor="text1"/>
            </w:tcBorders>
            <w:vAlign w:val="center"/>
          </w:tcPr>
          <w:p w14:paraId="5C8DA5CB" w14:textId="77777777" w:rsidR="00921379" w:rsidRPr="001B05A5" w:rsidRDefault="00AB72DB" w:rsidP="00FF3036">
            <w:pPr>
              <w:keepNext/>
              <w:keepLines/>
              <w:spacing w:after="0"/>
              <w:jc w:val="left"/>
              <w:rPr>
                <w:b/>
                <w:sz w:val="18"/>
                <w:szCs w:val="18"/>
              </w:rPr>
            </w:pPr>
            <w:r>
              <w:rPr>
                <w:b/>
                <w:sz w:val="18"/>
                <w:szCs w:val="18"/>
              </w:rPr>
              <w:t>Recognition</w:t>
            </w:r>
            <w:r w:rsidR="00FA5647">
              <w:rPr>
                <w:b/>
                <w:sz w:val="18"/>
                <w:szCs w:val="18"/>
              </w:rPr>
              <w:t xml:space="preserve"> Effort</w:t>
            </w:r>
            <w:r>
              <w:rPr>
                <w:b/>
                <w:sz w:val="18"/>
                <w:szCs w:val="18"/>
              </w:rPr>
              <w:t>s</w:t>
            </w:r>
          </w:p>
        </w:tc>
        <w:tc>
          <w:tcPr>
            <w:tcW w:w="1908" w:type="dxa"/>
            <w:tcBorders>
              <w:top w:val="single" w:sz="12" w:space="0" w:color="000000" w:themeColor="text1"/>
              <w:left w:val="single" w:sz="4" w:space="0" w:color="000000" w:themeColor="text1"/>
              <w:bottom w:val="double" w:sz="4" w:space="0" w:color="auto"/>
            </w:tcBorders>
            <w:vAlign w:val="center"/>
          </w:tcPr>
          <w:p w14:paraId="411E3503" w14:textId="77777777" w:rsidR="00921379" w:rsidRDefault="00AB72DB" w:rsidP="00FF3036">
            <w:pPr>
              <w:keepNext/>
              <w:keepLines/>
              <w:spacing w:after="0"/>
              <w:jc w:val="left"/>
              <w:rPr>
                <w:b/>
                <w:sz w:val="18"/>
                <w:szCs w:val="18"/>
              </w:rPr>
            </w:pPr>
            <w:r>
              <w:rPr>
                <w:b/>
                <w:sz w:val="18"/>
                <w:szCs w:val="18"/>
              </w:rPr>
              <w:t>Voluntary Standards</w:t>
            </w:r>
          </w:p>
        </w:tc>
        <w:tc>
          <w:tcPr>
            <w:tcW w:w="1909" w:type="dxa"/>
            <w:tcBorders>
              <w:top w:val="single" w:sz="12" w:space="0" w:color="000000" w:themeColor="text1"/>
              <w:bottom w:val="double" w:sz="4" w:space="0" w:color="auto"/>
              <w:right w:val="single" w:sz="12" w:space="0" w:color="000000" w:themeColor="text1"/>
            </w:tcBorders>
            <w:vAlign w:val="center"/>
          </w:tcPr>
          <w:p w14:paraId="3EE48CE1" w14:textId="77777777" w:rsidR="00921379" w:rsidRDefault="00AB72DB" w:rsidP="00FF3036">
            <w:pPr>
              <w:keepNext/>
              <w:keepLines/>
              <w:spacing w:after="0"/>
              <w:jc w:val="left"/>
              <w:rPr>
                <w:b/>
                <w:sz w:val="18"/>
                <w:szCs w:val="18"/>
              </w:rPr>
            </w:pPr>
            <w:r>
              <w:rPr>
                <w:b/>
                <w:sz w:val="18"/>
                <w:szCs w:val="18"/>
              </w:rPr>
              <w:t>Mandatory Standards</w:t>
            </w:r>
          </w:p>
        </w:tc>
      </w:tr>
      <w:tr w:rsidR="00921379" w:rsidRPr="001B05A5" w14:paraId="3C7E490B" w14:textId="77777777" w:rsidTr="00AF724D">
        <w:trPr>
          <w:jc w:val="center"/>
        </w:trPr>
        <w:tc>
          <w:tcPr>
            <w:tcW w:w="1908" w:type="dxa"/>
            <w:tcBorders>
              <w:top w:val="double" w:sz="4" w:space="0" w:color="auto"/>
              <w:left w:val="single" w:sz="12" w:space="0" w:color="000000" w:themeColor="text1"/>
            </w:tcBorders>
            <w:vAlign w:val="center"/>
          </w:tcPr>
          <w:p w14:paraId="76C8E845" w14:textId="77777777" w:rsidR="00921379" w:rsidRPr="001B05A5" w:rsidRDefault="003E38B1" w:rsidP="00FF3036">
            <w:pPr>
              <w:keepNext/>
              <w:keepLines/>
              <w:spacing w:after="0"/>
              <w:jc w:val="left"/>
              <w:rPr>
                <w:sz w:val="18"/>
                <w:szCs w:val="18"/>
              </w:rPr>
            </w:pPr>
            <w:r>
              <w:rPr>
                <w:sz w:val="18"/>
                <w:szCs w:val="18"/>
              </w:rPr>
              <w:t>Televisions</w:t>
            </w:r>
          </w:p>
        </w:tc>
        <w:tc>
          <w:tcPr>
            <w:tcW w:w="1908" w:type="dxa"/>
            <w:tcBorders>
              <w:top w:val="double" w:sz="4" w:space="0" w:color="auto"/>
              <w:left w:val="single" w:sz="12" w:space="0" w:color="000000" w:themeColor="text1"/>
            </w:tcBorders>
            <w:vAlign w:val="center"/>
          </w:tcPr>
          <w:p w14:paraId="14838E6A" w14:textId="77777777" w:rsidR="00C74DBD" w:rsidRDefault="00C758B1" w:rsidP="00FF3036">
            <w:pPr>
              <w:keepNext/>
              <w:keepLines/>
              <w:spacing w:after="0"/>
              <w:jc w:val="left"/>
              <w:rPr>
                <w:sz w:val="18"/>
                <w:szCs w:val="18"/>
              </w:rPr>
            </w:pPr>
            <w:r>
              <w:rPr>
                <w:sz w:val="18"/>
                <w:szCs w:val="18"/>
              </w:rPr>
              <w:t xml:space="preserve">Version 6.1 – Effective June 2013 </w:t>
            </w:r>
          </w:p>
          <w:p w14:paraId="15FB28FD" w14:textId="77777777" w:rsidR="00C74DBD" w:rsidRPr="0017308C" w:rsidRDefault="00C758B1" w:rsidP="00FF3036">
            <w:pPr>
              <w:keepNext/>
              <w:keepLines/>
              <w:spacing w:after="0"/>
              <w:jc w:val="left"/>
              <w:rPr>
                <w:i/>
                <w:sz w:val="18"/>
                <w:szCs w:val="18"/>
              </w:rPr>
            </w:pPr>
            <w:r w:rsidRPr="0017308C">
              <w:rPr>
                <w:i/>
                <w:sz w:val="18"/>
                <w:szCs w:val="18"/>
              </w:rPr>
              <w:t>(7.0 in process)</w:t>
            </w:r>
          </w:p>
          <w:p w14:paraId="5F603964" w14:textId="77777777" w:rsidR="00921379" w:rsidRPr="001B05A5" w:rsidRDefault="00921379" w:rsidP="00FF3036">
            <w:pPr>
              <w:keepNext/>
              <w:keepLines/>
              <w:spacing w:after="0"/>
              <w:jc w:val="left"/>
              <w:rPr>
                <w:sz w:val="18"/>
                <w:szCs w:val="18"/>
              </w:rPr>
            </w:pPr>
          </w:p>
        </w:tc>
        <w:tc>
          <w:tcPr>
            <w:tcW w:w="1909" w:type="dxa"/>
            <w:tcBorders>
              <w:top w:val="double" w:sz="4" w:space="0" w:color="auto"/>
              <w:right w:val="single" w:sz="4" w:space="0" w:color="000000" w:themeColor="text1"/>
            </w:tcBorders>
            <w:vAlign w:val="center"/>
          </w:tcPr>
          <w:p w14:paraId="0986961C" w14:textId="4E10FEB6" w:rsidR="00921379" w:rsidRPr="001B05A5" w:rsidRDefault="00E57BED" w:rsidP="00A917D2">
            <w:pPr>
              <w:keepNext/>
              <w:keepLines/>
              <w:spacing w:after="0"/>
              <w:jc w:val="left"/>
              <w:rPr>
                <w:sz w:val="18"/>
                <w:szCs w:val="18"/>
              </w:rPr>
            </w:pPr>
            <w:r>
              <w:rPr>
                <w:sz w:val="18"/>
                <w:szCs w:val="18"/>
              </w:rPr>
              <w:t>TopTen</w:t>
            </w:r>
            <w:r w:rsidR="005C3223">
              <w:rPr>
                <w:sz w:val="18"/>
                <w:szCs w:val="18"/>
              </w:rPr>
              <w:t>*</w:t>
            </w:r>
            <w:r w:rsidR="00AB72DB">
              <w:rPr>
                <w:sz w:val="18"/>
                <w:szCs w:val="18"/>
              </w:rPr>
              <w:t xml:space="preserve"> </w:t>
            </w:r>
            <w:r w:rsidR="005D7DF4">
              <w:rPr>
                <w:sz w:val="18"/>
                <w:szCs w:val="18"/>
              </w:rPr>
              <w:t xml:space="preserve">and </w:t>
            </w:r>
            <w:r w:rsidR="00AB72DB">
              <w:rPr>
                <w:sz w:val="18"/>
                <w:szCs w:val="18"/>
              </w:rPr>
              <w:t>ENERGY STAR Most Efficient</w:t>
            </w:r>
          </w:p>
        </w:tc>
        <w:tc>
          <w:tcPr>
            <w:tcW w:w="1908" w:type="dxa"/>
            <w:tcBorders>
              <w:top w:val="double" w:sz="4" w:space="0" w:color="auto"/>
              <w:left w:val="single" w:sz="4" w:space="0" w:color="000000" w:themeColor="text1"/>
            </w:tcBorders>
            <w:vAlign w:val="center"/>
          </w:tcPr>
          <w:p w14:paraId="0B396F6A" w14:textId="77777777" w:rsidR="00921379" w:rsidRPr="001B05A5" w:rsidRDefault="001E30FE" w:rsidP="00FF3036">
            <w:pPr>
              <w:keepNext/>
              <w:keepLines/>
              <w:spacing w:after="0"/>
              <w:jc w:val="left"/>
              <w:rPr>
                <w:sz w:val="18"/>
                <w:szCs w:val="18"/>
              </w:rPr>
            </w:pPr>
            <w:r>
              <w:rPr>
                <w:sz w:val="18"/>
                <w:szCs w:val="18"/>
              </w:rPr>
              <w:t>None</w:t>
            </w:r>
          </w:p>
        </w:tc>
        <w:tc>
          <w:tcPr>
            <w:tcW w:w="1909" w:type="dxa"/>
            <w:tcBorders>
              <w:top w:val="double" w:sz="4" w:space="0" w:color="auto"/>
              <w:right w:val="single" w:sz="12" w:space="0" w:color="000000" w:themeColor="text1"/>
            </w:tcBorders>
            <w:vAlign w:val="center"/>
          </w:tcPr>
          <w:p w14:paraId="3573F4AC" w14:textId="191BF96A" w:rsidR="00921379" w:rsidRDefault="004C2A8B" w:rsidP="00FF3036">
            <w:pPr>
              <w:keepNext/>
              <w:keepLines/>
              <w:spacing w:after="0"/>
              <w:jc w:val="left"/>
              <w:rPr>
                <w:sz w:val="18"/>
                <w:szCs w:val="18"/>
              </w:rPr>
            </w:pPr>
            <w:r>
              <w:rPr>
                <w:sz w:val="18"/>
                <w:szCs w:val="18"/>
              </w:rPr>
              <w:t xml:space="preserve">No federal standards; </w:t>
            </w:r>
            <w:r w:rsidR="00023F75">
              <w:rPr>
                <w:sz w:val="18"/>
                <w:szCs w:val="18"/>
              </w:rPr>
              <w:t>Connecticut, California, and Oregon have their own standards</w:t>
            </w:r>
          </w:p>
        </w:tc>
      </w:tr>
      <w:tr w:rsidR="00921379" w:rsidRPr="001B05A5" w14:paraId="34BFD351" w14:textId="77777777" w:rsidTr="00AF724D">
        <w:trPr>
          <w:jc w:val="center"/>
        </w:trPr>
        <w:tc>
          <w:tcPr>
            <w:tcW w:w="1908" w:type="dxa"/>
            <w:tcBorders>
              <w:left w:val="single" w:sz="12" w:space="0" w:color="000000" w:themeColor="text1"/>
            </w:tcBorders>
            <w:vAlign w:val="center"/>
          </w:tcPr>
          <w:p w14:paraId="53C50DAD" w14:textId="77777777" w:rsidR="00921379" w:rsidRPr="001B05A5" w:rsidRDefault="003E38B1" w:rsidP="00FF3036">
            <w:pPr>
              <w:keepNext/>
              <w:keepLines/>
              <w:spacing w:after="0"/>
              <w:jc w:val="left"/>
              <w:rPr>
                <w:sz w:val="18"/>
                <w:szCs w:val="18"/>
              </w:rPr>
            </w:pPr>
            <w:r>
              <w:rPr>
                <w:sz w:val="18"/>
                <w:szCs w:val="18"/>
              </w:rPr>
              <w:t>Set-Top Boxes</w:t>
            </w:r>
          </w:p>
        </w:tc>
        <w:tc>
          <w:tcPr>
            <w:tcW w:w="1908" w:type="dxa"/>
            <w:tcBorders>
              <w:left w:val="single" w:sz="12" w:space="0" w:color="000000" w:themeColor="text1"/>
            </w:tcBorders>
            <w:vAlign w:val="center"/>
          </w:tcPr>
          <w:p w14:paraId="49AA8827" w14:textId="77777777" w:rsidR="00C74DBD" w:rsidRDefault="00C758B1" w:rsidP="00FF3036">
            <w:pPr>
              <w:keepNext/>
              <w:keepLines/>
              <w:spacing w:after="0"/>
              <w:jc w:val="left"/>
              <w:rPr>
                <w:sz w:val="18"/>
                <w:szCs w:val="18"/>
              </w:rPr>
            </w:pPr>
            <w:r>
              <w:rPr>
                <w:sz w:val="18"/>
                <w:szCs w:val="18"/>
              </w:rPr>
              <w:t xml:space="preserve">Version 3.0 – Effective September 2011; </w:t>
            </w:r>
          </w:p>
          <w:p w14:paraId="2E3625FF" w14:textId="77777777" w:rsidR="00921379" w:rsidRPr="0017308C" w:rsidRDefault="00B2105F" w:rsidP="00FF3036">
            <w:pPr>
              <w:keepNext/>
              <w:keepLines/>
              <w:spacing w:after="0"/>
              <w:jc w:val="left"/>
              <w:rPr>
                <w:i/>
                <w:sz w:val="18"/>
                <w:szCs w:val="18"/>
              </w:rPr>
            </w:pPr>
            <w:r w:rsidRPr="0017308C">
              <w:rPr>
                <w:i/>
                <w:sz w:val="18"/>
                <w:szCs w:val="18"/>
              </w:rPr>
              <w:t>(</w:t>
            </w:r>
            <w:r w:rsidR="00C758B1" w:rsidRPr="0017308C">
              <w:rPr>
                <w:i/>
                <w:sz w:val="18"/>
                <w:szCs w:val="18"/>
              </w:rPr>
              <w:t>Version 4.1 – Effective December 2014</w:t>
            </w:r>
            <w:r w:rsidRPr="0017308C">
              <w:rPr>
                <w:i/>
                <w:sz w:val="18"/>
                <w:szCs w:val="18"/>
              </w:rPr>
              <w:t>)</w:t>
            </w:r>
          </w:p>
        </w:tc>
        <w:tc>
          <w:tcPr>
            <w:tcW w:w="1909" w:type="dxa"/>
            <w:tcBorders>
              <w:right w:val="single" w:sz="4" w:space="0" w:color="000000" w:themeColor="text1"/>
            </w:tcBorders>
            <w:vAlign w:val="center"/>
          </w:tcPr>
          <w:p w14:paraId="6E5C7BB4" w14:textId="77777777" w:rsidR="00921379" w:rsidRPr="001B05A5" w:rsidRDefault="001E30FE" w:rsidP="00FF3036">
            <w:pPr>
              <w:keepNext/>
              <w:keepLines/>
              <w:spacing w:after="0"/>
              <w:jc w:val="left"/>
              <w:rPr>
                <w:sz w:val="18"/>
                <w:szCs w:val="18"/>
              </w:rPr>
            </w:pPr>
            <w:r>
              <w:rPr>
                <w:sz w:val="18"/>
                <w:szCs w:val="18"/>
              </w:rPr>
              <w:t>None</w:t>
            </w:r>
          </w:p>
        </w:tc>
        <w:tc>
          <w:tcPr>
            <w:tcW w:w="1908" w:type="dxa"/>
            <w:tcBorders>
              <w:left w:val="single" w:sz="4" w:space="0" w:color="000000" w:themeColor="text1"/>
            </w:tcBorders>
            <w:vAlign w:val="center"/>
          </w:tcPr>
          <w:p w14:paraId="6D02A0F3" w14:textId="77777777" w:rsidR="00921379" w:rsidRPr="001B05A5" w:rsidRDefault="00C97AE4" w:rsidP="00FF3036">
            <w:pPr>
              <w:keepNext/>
              <w:keepLines/>
              <w:spacing w:after="0"/>
              <w:jc w:val="left"/>
              <w:rPr>
                <w:sz w:val="18"/>
                <w:szCs w:val="18"/>
              </w:rPr>
            </w:pPr>
            <w:r w:rsidRPr="00C97AE4">
              <w:rPr>
                <w:sz w:val="18"/>
                <w:szCs w:val="18"/>
              </w:rPr>
              <w:t>Set-top Box Energy Conservation Agreement</w:t>
            </w:r>
            <w:r>
              <w:rPr>
                <w:sz w:val="18"/>
                <w:szCs w:val="18"/>
              </w:rPr>
              <w:t xml:space="preserve"> signed December 2013</w:t>
            </w:r>
          </w:p>
        </w:tc>
        <w:tc>
          <w:tcPr>
            <w:tcW w:w="1909" w:type="dxa"/>
            <w:tcBorders>
              <w:right w:val="single" w:sz="12" w:space="0" w:color="000000" w:themeColor="text1"/>
            </w:tcBorders>
            <w:vAlign w:val="center"/>
          </w:tcPr>
          <w:p w14:paraId="18E56E29" w14:textId="3F3A2A73" w:rsidR="00921379" w:rsidRPr="001B05A5" w:rsidRDefault="004C7AFD" w:rsidP="00FF3036">
            <w:pPr>
              <w:keepNext/>
              <w:keepLines/>
              <w:spacing w:after="0"/>
              <w:jc w:val="left"/>
              <w:rPr>
                <w:sz w:val="18"/>
                <w:szCs w:val="18"/>
              </w:rPr>
            </w:pPr>
            <w:r>
              <w:rPr>
                <w:sz w:val="18"/>
                <w:szCs w:val="18"/>
              </w:rPr>
              <w:t>None</w:t>
            </w:r>
            <w:r w:rsidR="000E613C">
              <w:rPr>
                <w:sz w:val="18"/>
                <w:szCs w:val="18"/>
              </w:rPr>
              <w:t>*</w:t>
            </w:r>
            <w:r w:rsidR="005C3223">
              <w:rPr>
                <w:sz w:val="18"/>
                <w:szCs w:val="18"/>
              </w:rPr>
              <w:t>*</w:t>
            </w:r>
          </w:p>
        </w:tc>
      </w:tr>
      <w:tr w:rsidR="00921379" w:rsidRPr="001B05A5" w14:paraId="1EE60120" w14:textId="77777777" w:rsidTr="00AF724D">
        <w:trPr>
          <w:jc w:val="center"/>
        </w:trPr>
        <w:tc>
          <w:tcPr>
            <w:tcW w:w="1908" w:type="dxa"/>
            <w:tcBorders>
              <w:left w:val="single" w:sz="12" w:space="0" w:color="000000" w:themeColor="text1"/>
            </w:tcBorders>
            <w:vAlign w:val="center"/>
          </w:tcPr>
          <w:p w14:paraId="3E1A9BA6" w14:textId="77777777" w:rsidR="00921379" w:rsidRDefault="003E38B1" w:rsidP="00FF3036">
            <w:pPr>
              <w:keepNext/>
              <w:keepLines/>
              <w:spacing w:after="0"/>
              <w:jc w:val="left"/>
              <w:rPr>
                <w:sz w:val="18"/>
                <w:szCs w:val="18"/>
              </w:rPr>
            </w:pPr>
            <w:r>
              <w:rPr>
                <w:sz w:val="18"/>
                <w:szCs w:val="18"/>
              </w:rPr>
              <w:t>Personal Computers</w:t>
            </w:r>
          </w:p>
        </w:tc>
        <w:tc>
          <w:tcPr>
            <w:tcW w:w="1908" w:type="dxa"/>
            <w:tcBorders>
              <w:left w:val="single" w:sz="12" w:space="0" w:color="000000" w:themeColor="text1"/>
            </w:tcBorders>
            <w:vAlign w:val="center"/>
          </w:tcPr>
          <w:p w14:paraId="1DD20540" w14:textId="77777777" w:rsidR="00C74DBD" w:rsidRDefault="00E57BED" w:rsidP="00FF3036">
            <w:pPr>
              <w:keepNext/>
              <w:keepLines/>
              <w:spacing w:after="0"/>
              <w:jc w:val="left"/>
              <w:rPr>
                <w:sz w:val="18"/>
                <w:szCs w:val="18"/>
              </w:rPr>
            </w:pPr>
            <w:r>
              <w:rPr>
                <w:sz w:val="18"/>
                <w:szCs w:val="18"/>
              </w:rPr>
              <w:t xml:space="preserve">Version 6.0 – Effective June 2014 </w:t>
            </w:r>
          </w:p>
          <w:p w14:paraId="1D2028D7" w14:textId="77777777" w:rsidR="00921379" w:rsidRPr="0017308C" w:rsidRDefault="00E57BED" w:rsidP="00FF3036">
            <w:pPr>
              <w:keepNext/>
              <w:keepLines/>
              <w:spacing w:after="0"/>
              <w:jc w:val="left"/>
              <w:rPr>
                <w:i/>
                <w:sz w:val="18"/>
                <w:szCs w:val="18"/>
              </w:rPr>
            </w:pPr>
            <w:r w:rsidRPr="0017308C">
              <w:rPr>
                <w:i/>
                <w:sz w:val="18"/>
                <w:szCs w:val="18"/>
              </w:rPr>
              <w:t>(6.1  in process)</w:t>
            </w:r>
          </w:p>
        </w:tc>
        <w:tc>
          <w:tcPr>
            <w:tcW w:w="1909" w:type="dxa"/>
            <w:tcBorders>
              <w:right w:val="single" w:sz="4" w:space="0" w:color="000000" w:themeColor="text1"/>
            </w:tcBorders>
            <w:vAlign w:val="center"/>
          </w:tcPr>
          <w:p w14:paraId="75CB899B" w14:textId="613C1B3E" w:rsidR="00921379" w:rsidRPr="001B05A5" w:rsidRDefault="00C74DBD" w:rsidP="00094908">
            <w:pPr>
              <w:keepNext/>
              <w:keepLines/>
              <w:spacing w:after="0"/>
              <w:jc w:val="left"/>
              <w:rPr>
                <w:sz w:val="18"/>
                <w:szCs w:val="18"/>
              </w:rPr>
            </w:pPr>
            <w:r>
              <w:rPr>
                <w:sz w:val="18"/>
                <w:szCs w:val="18"/>
              </w:rPr>
              <w:t>TopTen</w:t>
            </w:r>
            <w:r w:rsidR="005C3223">
              <w:rPr>
                <w:sz w:val="18"/>
                <w:szCs w:val="18"/>
              </w:rPr>
              <w:t>*</w:t>
            </w:r>
          </w:p>
        </w:tc>
        <w:tc>
          <w:tcPr>
            <w:tcW w:w="1908" w:type="dxa"/>
            <w:tcBorders>
              <w:left w:val="single" w:sz="4" w:space="0" w:color="000000" w:themeColor="text1"/>
            </w:tcBorders>
            <w:vAlign w:val="center"/>
          </w:tcPr>
          <w:p w14:paraId="1C6B06C8" w14:textId="77777777" w:rsidR="00921379" w:rsidRPr="001B05A5" w:rsidRDefault="001E30FE" w:rsidP="00FF3036">
            <w:pPr>
              <w:keepNext/>
              <w:keepLines/>
              <w:spacing w:after="0"/>
              <w:jc w:val="left"/>
              <w:rPr>
                <w:sz w:val="18"/>
                <w:szCs w:val="18"/>
              </w:rPr>
            </w:pPr>
            <w:r>
              <w:rPr>
                <w:sz w:val="18"/>
                <w:szCs w:val="18"/>
              </w:rPr>
              <w:t>None</w:t>
            </w:r>
          </w:p>
        </w:tc>
        <w:tc>
          <w:tcPr>
            <w:tcW w:w="1909" w:type="dxa"/>
            <w:tcBorders>
              <w:right w:val="single" w:sz="12" w:space="0" w:color="000000" w:themeColor="text1"/>
            </w:tcBorders>
            <w:vAlign w:val="center"/>
          </w:tcPr>
          <w:p w14:paraId="50EFE9B7" w14:textId="77777777" w:rsidR="00921379" w:rsidRPr="001B05A5" w:rsidRDefault="004C7AFD" w:rsidP="00FF3036">
            <w:pPr>
              <w:keepNext/>
              <w:keepLines/>
              <w:spacing w:after="0"/>
              <w:jc w:val="left"/>
              <w:rPr>
                <w:sz w:val="18"/>
                <w:szCs w:val="18"/>
              </w:rPr>
            </w:pPr>
            <w:r>
              <w:rPr>
                <w:sz w:val="18"/>
                <w:szCs w:val="18"/>
              </w:rPr>
              <w:t>None</w:t>
            </w:r>
          </w:p>
        </w:tc>
      </w:tr>
      <w:tr w:rsidR="005D2319" w:rsidRPr="001B05A5" w14:paraId="01AA1034" w14:textId="77777777" w:rsidTr="00AF724D">
        <w:trPr>
          <w:jc w:val="center"/>
        </w:trPr>
        <w:tc>
          <w:tcPr>
            <w:tcW w:w="1908" w:type="dxa"/>
            <w:tcBorders>
              <w:left w:val="single" w:sz="12" w:space="0" w:color="000000" w:themeColor="text1"/>
            </w:tcBorders>
            <w:vAlign w:val="center"/>
          </w:tcPr>
          <w:p w14:paraId="78C5F4D3" w14:textId="77777777" w:rsidR="005D2319" w:rsidRDefault="005D2319" w:rsidP="00F53865">
            <w:pPr>
              <w:keepNext/>
              <w:keepLines/>
              <w:spacing w:after="0"/>
              <w:jc w:val="left"/>
              <w:rPr>
                <w:sz w:val="18"/>
                <w:szCs w:val="18"/>
              </w:rPr>
            </w:pPr>
            <w:r>
              <w:rPr>
                <w:sz w:val="18"/>
                <w:szCs w:val="18"/>
              </w:rPr>
              <w:t xml:space="preserve">Network </w:t>
            </w:r>
            <w:r w:rsidR="00F53865">
              <w:rPr>
                <w:sz w:val="18"/>
                <w:szCs w:val="18"/>
              </w:rPr>
              <w:t>E</w:t>
            </w:r>
            <w:r>
              <w:rPr>
                <w:sz w:val="18"/>
                <w:szCs w:val="18"/>
              </w:rPr>
              <w:t>quipment</w:t>
            </w:r>
          </w:p>
        </w:tc>
        <w:tc>
          <w:tcPr>
            <w:tcW w:w="1908" w:type="dxa"/>
            <w:tcBorders>
              <w:left w:val="single" w:sz="12" w:space="0" w:color="000000" w:themeColor="text1"/>
            </w:tcBorders>
            <w:vAlign w:val="center"/>
          </w:tcPr>
          <w:p w14:paraId="5D4E3870" w14:textId="77777777" w:rsidR="005D2319" w:rsidRDefault="005D2319" w:rsidP="00FF3036">
            <w:pPr>
              <w:keepNext/>
              <w:keepLines/>
              <w:spacing w:after="0"/>
              <w:jc w:val="left"/>
              <w:rPr>
                <w:sz w:val="18"/>
                <w:szCs w:val="18"/>
              </w:rPr>
            </w:pPr>
            <w:r>
              <w:rPr>
                <w:sz w:val="18"/>
                <w:szCs w:val="18"/>
              </w:rPr>
              <w:t>Version 1.0 – Effective November 2013</w:t>
            </w:r>
          </w:p>
        </w:tc>
        <w:tc>
          <w:tcPr>
            <w:tcW w:w="1909" w:type="dxa"/>
            <w:tcBorders>
              <w:right w:val="single" w:sz="4" w:space="0" w:color="000000" w:themeColor="text1"/>
            </w:tcBorders>
            <w:vAlign w:val="center"/>
          </w:tcPr>
          <w:p w14:paraId="1CD80F36" w14:textId="77777777" w:rsidR="005D2319" w:rsidRDefault="005D2319" w:rsidP="00134B09">
            <w:pPr>
              <w:keepNext/>
              <w:keepLines/>
              <w:spacing w:after="0"/>
              <w:jc w:val="left"/>
              <w:rPr>
                <w:sz w:val="18"/>
                <w:szCs w:val="18"/>
              </w:rPr>
            </w:pPr>
            <w:r>
              <w:rPr>
                <w:sz w:val="18"/>
                <w:szCs w:val="18"/>
              </w:rPr>
              <w:t>None</w:t>
            </w:r>
          </w:p>
        </w:tc>
        <w:tc>
          <w:tcPr>
            <w:tcW w:w="1908" w:type="dxa"/>
            <w:tcBorders>
              <w:left w:val="single" w:sz="4" w:space="0" w:color="000000" w:themeColor="text1"/>
            </w:tcBorders>
            <w:vAlign w:val="center"/>
          </w:tcPr>
          <w:p w14:paraId="27CC3B06" w14:textId="77777777" w:rsidR="005D2319" w:rsidRDefault="005D2319" w:rsidP="00FF3036">
            <w:pPr>
              <w:keepNext/>
              <w:keepLines/>
              <w:spacing w:after="0"/>
              <w:jc w:val="left"/>
              <w:rPr>
                <w:sz w:val="18"/>
                <w:szCs w:val="18"/>
              </w:rPr>
            </w:pPr>
            <w:r>
              <w:rPr>
                <w:sz w:val="18"/>
                <w:szCs w:val="18"/>
              </w:rPr>
              <w:t>None</w:t>
            </w:r>
          </w:p>
        </w:tc>
        <w:tc>
          <w:tcPr>
            <w:tcW w:w="1909" w:type="dxa"/>
            <w:tcBorders>
              <w:right w:val="single" w:sz="12" w:space="0" w:color="000000" w:themeColor="text1"/>
            </w:tcBorders>
            <w:vAlign w:val="center"/>
          </w:tcPr>
          <w:p w14:paraId="610115B1" w14:textId="77777777" w:rsidR="005D2319" w:rsidRDefault="004C7AFD" w:rsidP="00FF3036">
            <w:pPr>
              <w:keepNext/>
              <w:keepLines/>
              <w:spacing w:after="0"/>
              <w:jc w:val="left"/>
              <w:rPr>
                <w:sz w:val="18"/>
                <w:szCs w:val="18"/>
              </w:rPr>
            </w:pPr>
            <w:r>
              <w:rPr>
                <w:sz w:val="18"/>
                <w:szCs w:val="18"/>
              </w:rPr>
              <w:t>None</w:t>
            </w:r>
          </w:p>
        </w:tc>
      </w:tr>
      <w:tr w:rsidR="00921379" w:rsidRPr="001B05A5" w14:paraId="5D418308" w14:textId="77777777" w:rsidTr="00AF724D">
        <w:trPr>
          <w:jc w:val="center"/>
        </w:trPr>
        <w:tc>
          <w:tcPr>
            <w:tcW w:w="1908" w:type="dxa"/>
            <w:tcBorders>
              <w:left w:val="single" w:sz="12" w:space="0" w:color="000000" w:themeColor="text1"/>
              <w:bottom w:val="single" w:sz="12" w:space="0" w:color="000000" w:themeColor="text1"/>
            </w:tcBorders>
            <w:vAlign w:val="center"/>
          </w:tcPr>
          <w:p w14:paraId="743C59C1" w14:textId="77777777" w:rsidR="00921379" w:rsidRDefault="00921379" w:rsidP="00FF3036">
            <w:pPr>
              <w:keepNext/>
              <w:keepLines/>
              <w:spacing w:after="0"/>
              <w:jc w:val="left"/>
              <w:rPr>
                <w:sz w:val="18"/>
                <w:szCs w:val="18"/>
              </w:rPr>
            </w:pPr>
            <w:r>
              <w:rPr>
                <w:sz w:val="18"/>
                <w:szCs w:val="18"/>
              </w:rPr>
              <w:t xml:space="preserve">Game </w:t>
            </w:r>
            <w:r w:rsidR="00F53865">
              <w:rPr>
                <w:sz w:val="18"/>
                <w:szCs w:val="18"/>
              </w:rPr>
              <w:t>C</w:t>
            </w:r>
            <w:r>
              <w:rPr>
                <w:sz w:val="18"/>
                <w:szCs w:val="18"/>
              </w:rPr>
              <w:t>onsoles</w:t>
            </w:r>
          </w:p>
        </w:tc>
        <w:tc>
          <w:tcPr>
            <w:tcW w:w="1908" w:type="dxa"/>
            <w:tcBorders>
              <w:left w:val="single" w:sz="12" w:space="0" w:color="000000" w:themeColor="text1"/>
              <w:bottom w:val="single" w:sz="12" w:space="0" w:color="000000" w:themeColor="text1"/>
            </w:tcBorders>
            <w:vAlign w:val="center"/>
          </w:tcPr>
          <w:p w14:paraId="4A4C2A2A" w14:textId="77777777" w:rsidR="00921379" w:rsidRPr="001B05A5" w:rsidRDefault="001E30FE" w:rsidP="00FF3036">
            <w:pPr>
              <w:keepNext/>
              <w:keepLines/>
              <w:spacing w:after="0"/>
              <w:jc w:val="left"/>
              <w:rPr>
                <w:sz w:val="18"/>
                <w:szCs w:val="18"/>
              </w:rPr>
            </w:pPr>
            <w:r>
              <w:rPr>
                <w:sz w:val="18"/>
                <w:szCs w:val="18"/>
              </w:rPr>
              <w:t>None</w:t>
            </w:r>
          </w:p>
        </w:tc>
        <w:tc>
          <w:tcPr>
            <w:tcW w:w="1909" w:type="dxa"/>
            <w:tcBorders>
              <w:bottom w:val="single" w:sz="12" w:space="0" w:color="000000" w:themeColor="text1"/>
              <w:right w:val="single" w:sz="4" w:space="0" w:color="000000" w:themeColor="text1"/>
            </w:tcBorders>
            <w:vAlign w:val="center"/>
          </w:tcPr>
          <w:p w14:paraId="66FA6599" w14:textId="77777777" w:rsidR="00921379" w:rsidRPr="001B05A5" w:rsidRDefault="00246274" w:rsidP="00FF3036">
            <w:pPr>
              <w:keepNext/>
              <w:keepLines/>
              <w:spacing w:after="0"/>
              <w:jc w:val="left"/>
              <w:rPr>
                <w:sz w:val="18"/>
                <w:szCs w:val="18"/>
              </w:rPr>
            </w:pPr>
            <w:r>
              <w:rPr>
                <w:sz w:val="18"/>
                <w:szCs w:val="18"/>
              </w:rPr>
              <w:t>ENERGY STAR Version 1.0 Recognition Program – Released March 2013</w:t>
            </w:r>
          </w:p>
        </w:tc>
        <w:tc>
          <w:tcPr>
            <w:tcW w:w="1908" w:type="dxa"/>
            <w:tcBorders>
              <w:left w:val="single" w:sz="4" w:space="0" w:color="000000" w:themeColor="text1"/>
              <w:bottom w:val="single" w:sz="12" w:space="0" w:color="000000" w:themeColor="text1"/>
            </w:tcBorders>
            <w:vAlign w:val="center"/>
          </w:tcPr>
          <w:p w14:paraId="2F187E57" w14:textId="77777777" w:rsidR="00921379" w:rsidRPr="001B05A5" w:rsidRDefault="001E30FE" w:rsidP="00FF3036">
            <w:pPr>
              <w:keepNext/>
              <w:keepLines/>
              <w:spacing w:after="0"/>
              <w:jc w:val="left"/>
              <w:rPr>
                <w:sz w:val="18"/>
                <w:szCs w:val="18"/>
              </w:rPr>
            </w:pPr>
            <w:r>
              <w:rPr>
                <w:sz w:val="18"/>
                <w:szCs w:val="18"/>
              </w:rPr>
              <w:t>None</w:t>
            </w:r>
          </w:p>
        </w:tc>
        <w:tc>
          <w:tcPr>
            <w:tcW w:w="1909" w:type="dxa"/>
            <w:tcBorders>
              <w:bottom w:val="single" w:sz="12" w:space="0" w:color="000000" w:themeColor="text1"/>
              <w:right w:val="single" w:sz="12" w:space="0" w:color="000000" w:themeColor="text1"/>
            </w:tcBorders>
            <w:vAlign w:val="center"/>
          </w:tcPr>
          <w:p w14:paraId="59B3AEB0" w14:textId="7D0870E4" w:rsidR="00921379" w:rsidRPr="001B05A5" w:rsidRDefault="0017308C" w:rsidP="005C3223">
            <w:pPr>
              <w:keepNext/>
              <w:keepLines/>
              <w:spacing w:after="0"/>
              <w:jc w:val="left"/>
              <w:rPr>
                <w:sz w:val="18"/>
                <w:szCs w:val="18"/>
              </w:rPr>
            </w:pPr>
            <w:r>
              <w:rPr>
                <w:sz w:val="18"/>
                <w:szCs w:val="18"/>
              </w:rPr>
              <w:t>None</w:t>
            </w:r>
            <w:r w:rsidR="005C3223" w:rsidRPr="005C3223">
              <w:rPr>
                <w:rFonts w:cs="Times New Roman"/>
                <w:sz w:val="18"/>
                <w:szCs w:val="18"/>
                <w:vertAlign w:val="superscript"/>
              </w:rPr>
              <w:t>†</w:t>
            </w:r>
          </w:p>
        </w:tc>
      </w:tr>
    </w:tbl>
    <w:p w14:paraId="354CB5BB" w14:textId="77777777" w:rsidR="0080070C" w:rsidRPr="0063124D" w:rsidRDefault="007B5F57" w:rsidP="00070F33">
      <w:pPr>
        <w:keepLines/>
        <w:spacing w:after="40" w:line="240" w:lineRule="auto"/>
        <w:ind w:left="-90"/>
        <w:jc w:val="left"/>
        <w:rPr>
          <w:sz w:val="20"/>
          <w:szCs w:val="20"/>
        </w:rPr>
      </w:pPr>
      <w:r w:rsidRPr="0063124D">
        <w:rPr>
          <w:i/>
          <w:sz w:val="20"/>
          <w:szCs w:val="20"/>
        </w:rPr>
        <w:t>Sources</w:t>
      </w:r>
      <w:r w:rsidRPr="0063124D">
        <w:rPr>
          <w:sz w:val="20"/>
          <w:szCs w:val="20"/>
        </w:rPr>
        <w:t xml:space="preserve">: 1) </w:t>
      </w:r>
      <w:r w:rsidR="0080070C" w:rsidRPr="0063124D">
        <w:rPr>
          <w:sz w:val="20"/>
          <w:szCs w:val="20"/>
        </w:rPr>
        <w:t>ENERGY STAR. “All Ce</w:t>
      </w:r>
      <w:r w:rsidR="000744BE" w:rsidRPr="0063124D">
        <w:rPr>
          <w:sz w:val="20"/>
          <w:szCs w:val="20"/>
        </w:rPr>
        <w:t>rtified Products</w:t>
      </w:r>
      <w:r w:rsidR="00F53865">
        <w:rPr>
          <w:sz w:val="20"/>
          <w:szCs w:val="20"/>
        </w:rPr>
        <w:t>.</w:t>
      </w:r>
      <w:r w:rsidR="0080070C" w:rsidRPr="0063124D">
        <w:rPr>
          <w:sz w:val="20"/>
          <w:szCs w:val="20"/>
        </w:rPr>
        <w:t>”</w:t>
      </w:r>
      <w:r w:rsidR="00AB72DB" w:rsidRPr="0063124D">
        <w:rPr>
          <w:sz w:val="20"/>
          <w:szCs w:val="20"/>
        </w:rPr>
        <w:t xml:space="preserve"> </w:t>
      </w:r>
      <w:r w:rsidRPr="0063124D">
        <w:rPr>
          <w:sz w:val="20"/>
          <w:szCs w:val="20"/>
        </w:rPr>
        <w:t>2) ENERGY STAR. “ENERGY STAR Most Efficient 2014</w:t>
      </w:r>
      <w:r w:rsidR="00F53865">
        <w:rPr>
          <w:sz w:val="20"/>
          <w:szCs w:val="20"/>
        </w:rPr>
        <w:t>.</w:t>
      </w:r>
      <w:r w:rsidRPr="0063124D">
        <w:rPr>
          <w:sz w:val="20"/>
          <w:szCs w:val="20"/>
        </w:rPr>
        <w:t>”</w:t>
      </w:r>
      <w:r w:rsidR="00AB72DB" w:rsidRPr="0063124D">
        <w:rPr>
          <w:sz w:val="20"/>
          <w:szCs w:val="20"/>
        </w:rPr>
        <w:t xml:space="preserve"> 3) TopTen. Website. 2014</w:t>
      </w:r>
      <w:r w:rsidR="00F53865">
        <w:rPr>
          <w:sz w:val="20"/>
          <w:szCs w:val="20"/>
        </w:rPr>
        <w:t>.</w:t>
      </w:r>
      <w:r w:rsidR="000744BE" w:rsidRPr="0063124D">
        <w:rPr>
          <w:sz w:val="20"/>
          <w:szCs w:val="20"/>
        </w:rPr>
        <w:t xml:space="preserve"> 4) </w:t>
      </w:r>
      <w:r w:rsidR="00246274" w:rsidRPr="0063124D">
        <w:rPr>
          <w:sz w:val="20"/>
          <w:szCs w:val="20"/>
        </w:rPr>
        <w:t xml:space="preserve">ENERGY STAR. “Game Console Version 1.0 Recognition Program.” 5) </w:t>
      </w:r>
      <w:r w:rsidR="002B0092" w:rsidRPr="0063124D">
        <w:rPr>
          <w:sz w:val="20"/>
          <w:szCs w:val="20"/>
        </w:rPr>
        <w:t>US DOE. “</w:t>
      </w:r>
      <w:r w:rsidR="00984CC4" w:rsidRPr="0063124D">
        <w:rPr>
          <w:sz w:val="20"/>
          <w:szCs w:val="20"/>
        </w:rPr>
        <w:t>Set-Top Box Energy Conservation Agreement</w:t>
      </w:r>
      <w:r w:rsidR="00F53865">
        <w:rPr>
          <w:sz w:val="20"/>
          <w:szCs w:val="20"/>
        </w:rPr>
        <w:t>.</w:t>
      </w:r>
      <w:r w:rsidR="00984CC4" w:rsidRPr="0063124D">
        <w:rPr>
          <w:sz w:val="20"/>
          <w:szCs w:val="20"/>
        </w:rPr>
        <w:t>”</w:t>
      </w:r>
      <w:r w:rsidR="00E60853" w:rsidRPr="0063124D">
        <w:rPr>
          <w:sz w:val="20"/>
          <w:szCs w:val="20"/>
        </w:rPr>
        <w:t xml:space="preserve"> </w:t>
      </w:r>
      <w:r w:rsidR="00246274" w:rsidRPr="0063124D">
        <w:rPr>
          <w:sz w:val="20"/>
          <w:szCs w:val="20"/>
        </w:rPr>
        <w:t>6</w:t>
      </w:r>
      <w:r w:rsidR="00E60853" w:rsidRPr="0063124D">
        <w:rPr>
          <w:sz w:val="20"/>
          <w:szCs w:val="20"/>
        </w:rPr>
        <w:t xml:space="preserve">) </w:t>
      </w:r>
      <w:r w:rsidR="00226F57" w:rsidRPr="0063124D">
        <w:rPr>
          <w:sz w:val="20"/>
          <w:szCs w:val="20"/>
        </w:rPr>
        <w:t>Appliance Standards Awareness Project</w:t>
      </w:r>
      <w:r w:rsidR="00E60853" w:rsidRPr="0063124D">
        <w:rPr>
          <w:sz w:val="20"/>
          <w:szCs w:val="20"/>
        </w:rPr>
        <w:t>. “Products</w:t>
      </w:r>
      <w:r w:rsidR="00F53865">
        <w:rPr>
          <w:sz w:val="20"/>
          <w:szCs w:val="20"/>
        </w:rPr>
        <w:t>.</w:t>
      </w:r>
      <w:r w:rsidR="00C97AE4" w:rsidRPr="0063124D">
        <w:rPr>
          <w:sz w:val="20"/>
          <w:szCs w:val="20"/>
        </w:rPr>
        <w:t>”</w:t>
      </w:r>
      <w:r w:rsidR="00E60853" w:rsidRPr="0063124D">
        <w:rPr>
          <w:sz w:val="20"/>
          <w:szCs w:val="20"/>
        </w:rPr>
        <w:t xml:space="preserve"> </w:t>
      </w:r>
      <w:r w:rsidR="00246274" w:rsidRPr="0063124D">
        <w:rPr>
          <w:sz w:val="20"/>
          <w:szCs w:val="20"/>
        </w:rPr>
        <w:t>7</w:t>
      </w:r>
      <w:r w:rsidR="00E60853" w:rsidRPr="0063124D">
        <w:rPr>
          <w:sz w:val="20"/>
          <w:szCs w:val="20"/>
        </w:rPr>
        <w:t xml:space="preserve">) </w:t>
      </w:r>
      <w:r w:rsidR="002B0092" w:rsidRPr="0063124D">
        <w:rPr>
          <w:sz w:val="20"/>
          <w:szCs w:val="20"/>
        </w:rPr>
        <w:t>US</w:t>
      </w:r>
      <w:r w:rsidR="00E60853" w:rsidRPr="0063124D">
        <w:rPr>
          <w:sz w:val="20"/>
          <w:szCs w:val="20"/>
        </w:rPr>
        <w:t xml:space="preserve"> DOE. “Rulemaking for Set-top Boxes Energy Conservation Standards and Test Procedure.” Accessed July 2, 2014. </w:t>
      </w:r>
      <w:hyperlink r:id="rId25" w:history="1">
        <w:r w:rsidR="00E60853" w:rsidRPr="0063124D">
          <w:rPr>
            <w:rStyle w:val="Hyperlink"/>
            <w:sz w:val="20"/>
            <w:szCs w:val="20"/>
          </w:rPr>
          <w:t>http://www1.eere.energy.gov/buildings/appliance_standards/rulemaking.aspx/ruleid/33</w:t>
        </w:r>
      </w:hyperlink>
      <w:r w:rsidR="00FB3DDC" w:rsidRPr="0063124D">
        <w:rPr>
          <w:sz w:val="20"/>
          <w:szCs w:val="20"/>
        </w:rPr>
        <w:t xml:space="preserve"> 8) US Office of Energy Efficiency &amp; Renewable Energy. “Standards and Test Procedures.” Accessed August 14, 2014. </w:t>
      </w:r>
      <w:hyperlink r:id="rId26" w:history="1">
        <w:r w:rsidR="00FB3DDC" w:rsidRPr="0063124D">
          <w:rPr>
            <w:rStyle w:val="Hyperlink"/>
            <w:sz w:val="20"/>
            <w:szCs w:val="20"/>
          </w:rPr>
          <w:t>http://energy.gov/eere/buildings/standards-and-test-procedures</w:t>
        </w:r>
      </w:hyperlink>
      <w:r w:rsidR="00FB3DDC" w:rsidRPr="0063124D">
        <w:rPr>
          <w:sz w:val="20"/>
          <w:szCs w:val="20"/>
        </w:rPr>
        <w:t xml:space="preserve">. </w:t>
      </w:r>
    </w:p>
    <w:p w14:paraId="4D613E4D" w14:textId="37E76B9B" w:rsidR="005C3223" w:rsidRDefault="000E613C" w:rsidP="00070F33">
      <w:pPr>
        <w:spacing w:after="40" w:line="240" w:lineRule="auto"/>
        <w:jc w:val="left"/>
        <w:rPr>
          <w:sz w:val="20"/>
          <w:szCs w:val="20"/>
        </w:rPr>
      </w:pPr>
      <w:r>
        <w:rPr>
          <w:sz w:val="20"/>
          <w:szCs w:val="20"/>
        </w:rPr>
        <w:t xml:space="preserve">* </w:t>
      </w:r>
      <w:r w:rsidR="005C3223" w:rsidRPr="005C3223">
        <w:rPr>
          <w:sz w:val="20"/>
          <w:szCs w:val="20"/>
        </w:rPr>
        <w:t>While not formally announced, the TopTen program is expected to draw to a close in the near future so this report does not address savings opportunities associated with it.</w:t>
      </w:r>
    </w:p>
    <w:p w14:paraId="5AE48905" w14:textId="5FABA44D" w:rsidR="00585F9C" w:rsidRPr="000E613C" w:rsidRDefault="005C3223" w:rsidP="00070F33">
      <w:pPr>
        <w:spacing w:after="40" w:line="240" w:lineRule="auto"/>
        <w:jc w:val="left"/>
        <w:rPr>
          <w:sz w:val="20"/>
          <w:szCs w:val="20"/>
        </w:rPr>
      </w:pPr>
      <w:r>
        <w:rPr>
          <w:sz w:val="20"/>
          <w:szCs w:val="20"/>
        </w:rPr>
        <w:lastRenderedPageBreak/>
        <w:t xml:space="preserve">** </w:t>
      </w:r>
      <w:r w:rsidR="000E613C" w:rsidRPr="000E613C">
        <w:rPr>
          <w:sz w:val="20"/>
          <w:szCs w:val="20"/>
        </w:rPr>
        <w:t xml:space="preserve">Shortly after </w:t>
      </w:r>
      <w:r w:rsidR="000E613C">
        <w:rPr>
          <w:sz w:val="20"/>
          <w:szCs w:val="20"/>
        </w:rPr>
        <w:t>the</w:t>
      </w:r>
      <w:r w:rsidR="000E613C" w:rsidRPr="000E613C">
        <w:rPr>
          <w:sz w:val="20"/>
          <w:szCs w:val="20"/>
        </w:rPr>
        <w:t xml:space="preserve"> Set-top Box Energy Conservati</w:t>
      </w:r>
      <w:r w:rsidR="00AF724D">
        <w:rPr>
          <w:sz w:val="20"/>
          <w:szCs w:val="20"/>
        </w:rPr>
        <w:t>on Agreement became official, U</w:t>
      </w:r>
      <w:r w:rsidR="000E613C" w:rsidRPr="000E613C">
        <w:rPr>
          <w:sz w:val="20"/>
          <w:szCs w:val="20"/>
        </w:rPr>
        <w:t>S DOE withdre</w:t>
      </w:r>
      <w:r w:rsidR="00E60853">
        <w:rPr>
          <w:sz w:val="20"/>
          <w:szCs w:val="20"/>
        </w:rPr>
        <w:t>w a proposal for STB standards.</w:t>
      </w:r>
    </w:p>
    <w:p w14:paraId="0C69669A" w14:textId="47DFE6CB" w:rsidR="0017308C" w:rsidRDefault="005C3223" w:rsidP="00070F33">
      <w:pPr>
        <w:jc w:val="left"/>
        <w:rPr>
          <w:rFonts w:eastAsiaTheme="majorEastAsia"/>
        </w:rPr>
      </w:pPr>
      <w:r>
        <w:rPr>
          <w:rFonts w:cs="Times New Roman"/>
          <w:sz w:val="18"/>
          <w:szCs w:val="18"/>
        </w:rPr>
        <w:t xml:space="preserve">† </w:t>
      </w:r>
      <w:r w:rsidR="0017308C" w:rsidRPr="0017308C">
        <w:rPr>
          <w:sz w:val="20"/>
          <w:szCs w:val="20"/>
        </w:rPr>
        <w:t>California has proposed standards to be ruled on in 2015</w:t>
      </w:r>
      <w:r w:rsidR="00234B9D">
        <w:rPr>
          <w:sz w:val="20"/>
          <w:szCs w:val="20"/>
        </w:rPr>
        <w:t>.</w:t>
      </w:r>
    </w:p>
    <w:p w14:paraId="4291D6FF" w14:textId="77777777" w:rsidR="00F81ED3" w:rsidRDefault="00F81ED3" w:rsidP="004C67E5">
      <w:pPr>
        <w:pStyle w:val="Heading1"/>
        <w:sectPr w:rsidR="00F81ED3" w:rsidSect="004C67E5">
          <w:headerReference w:type="default" r:id="rId27"/>
          <w:footerReference w:type="default" r:id="rId28"/>
          <w:pgSz w:w="12240" w:h="15840"/>
          <w:pgMar w:top="1440" w:right="1440" w:bottom="1440" w:left="1440" w:header="720" w:footer="720" w:gutter="0"/>
          <w:cols w:space="720"/>
          <w:docGrid w:linePitch="360"/>
        </w:sectPr>
      </w:pPr>
    </w:p>
    <w:p w14:paraId="6FF1BF30" w14:textId="77777777" w:rsidR="007D4D6B" w:rsidRDefault="00585F9C" w:rsidP="004C67E5">
      <w:pPr>
        <w:pStyle w:val="Heading1"/>
      </w:pPr>
      <w:bookmarkStart w:id="25" w:name="_Ref399070203"/>
      <w:bookmarkStart w:id="26" w:name="_Toc401667843"/>
      <w:r>
        <w:lastRenderedPageBreak/>
        <w:t xml:space="preserve">Energy </w:t>
      </w:r>
      <w:r w:rsidR="00B62FDD">
        <w:t>Savings Opportunities</w:t>
      </w:r>
      <w:bookmarkEnd w:id="25"/>
      <w:bookmarkEnd w:id="26"/>
    </w:p>
    <w:p w14:paraId="28408A60" w14:textId="77777777" w:rsidR="00101FA8" w:rsidRDefault="00D54BC2" w:rsidP="00101FA8">
      <w:pPr>
        <w:rPr>
          <w:szCs w:val="24"/>
        </w:rPr>
      </w:pPr>
      <w:r w:rsidRPr="00D54BC2">
        <w:t>The primary</w:t>
      </w:r>
      <w:r>
        <w:t xml:space="preserve"> objective of this literature review </w:t>
      </w:r>
      <w:r w:rsidR="006615C5">
        <w:t>i</w:t>
      </w:r>
      <w:r>
        <w:t xml:space="preserve">s to outline estimates of energy savings measures for consumer electronics. </w:t>
      </w:r>
      <w:r w:rsidR="003D460E">
        <w:t>Th</w:t>
      </w:r>
      <w:r w:rsidR="006615C5">
        <w:t>is</w:t>
      </w:r>
      <w:r w:rsidR="003D460E">
        <w:t xml:space="preserve"> section </w:t>
      </w:r>
      <w:r w:rsidR="00E90EB4">
        <w:t xml:space="preserve">investigates </w:t>
      </w:r>
      <w:r w:rsidR="002E1CFC">
        <w:t xml:space="preserve">savings measures for </w:t>
      </w:r>
      <w:r w:rsidR="00E90EB4">
        <w:t>the</w:t>
      </w:r>
      <w:r w:rsidR="003D460E">
        <w:t xml:space="preserve"> five key product categories of interest: TVs, STBs, PCs, network equipment, and game consoles. </w:t>
      </w:r>
      <w:r w:rsidR="006710BE">
        <w:rPr>
          <w:szCs w:val="24"/>
        </w:rPr>
        <w:t>It also devotes some discussion to one energy-saving technology in particular—smart strips.</w:t>
      </w:r>
      <w:r w:rsidR="006710BE" w:rsidRPr="00A25870">
        <w:rPr>
          <w:rStyle w:val="FootnoteReference"/>
          <w:szCs w:val="24"/>
        </w:rPr>
        <w:footnoteReference w:id="19"/>
      </w:r>
      <w:r w:rsidR="006710BE">
        <w:rPr>
          <w:szCs w:val="24"/>
        </w:rPr>
        <w:t xml:space="preserve"> </w:t>
      </w:r>
      <w:r w:rsidR="003D460E">
        <w:t>Product by product, the section</w:t>
      </w:r>
      <w:r w:rsidR="002E1CFC">
        <w:t>s present</w:t>
      </w:r>
      <w:r w:rsidR="003D460E">
        <w:t xml:space="preserve"> energy savings measures, the savings associated with the measures, high-level explanation</w:t>
      </w:r>
      <w:r w:rsidR="002E1CFC">
        <w:t>s</w:t>
      </w:r>
      <w:r w:rsidR="003D460E">
        <w:t xml:space="preserve"> of savings calculation</w:t>
      </w:r>
      <w:r w:rsidR="002E1CFC">
        <w:t>s</w:t>
      </w:r>
      <w:r w:rsidR="003D460E">
        <w:t xml:space="preserve">, and potential </w:t>
      </w:r>
      <w:r w:rsidR="002E1CFC">
        <w:t xml:space="preserve">program </w:t>
      </w:r>
      <w:r w:rsidR="002E1CFC" w:rsidRPr="00A25870">
        <w:rPr>
          <w:szCs w:val="24"/>
        </w:rPr>
        <w:t>implementation approaches.</w:t>
      </w:r>
      <w:r w:rsidR="00101FA8">
        <w:rPr>
          <w:szCs w:val="24"/>
        </w:rPr>
        <w:t xml:space="preserve"> </w:t>
      </w:r>
    </w:p>
    <w:p w14:paraId="4F095B1E" w14:textId="77777777" w:rsidR="00D54BC2" w:rsidRDefault="00DE27BA" w:rsidP="00101FA8">
      <w:pPr>
        <w:rPr>
          <w:szCs w:val="24"/>
        </w:rPr>
      </w:pPr>
      <w:r>
        <w:rPr>
          <w:szCs w:val="24"/>
        </w:rPr>
        <w:t xml:space="preserve">Despite having the </w:t>
      </w:r>
      <w:r w:rsidR="006615C5">
        <w:rPr>
          <w:szCs w:val="24"/>
        </w:rPr>
        <w:t xml:space="preserve">potential to </w:t>
      </w:r>
      <w:r>
        <w:rPr>
          <w:szCs w:val="24"/>
        </w:rPr>
        <w:t>generat</w:t>
      </w:r>
      <w:r w:rsidR="006615C5">
        <w:rPr>
          <w:szCs w:val="24"/>
        </w:rPr>
        <w:t>e</w:t>
      </w:r>
      <w:r>
        <w:rPr>
          <w:szCs w:val="24"/>
        </w:rPr>
        <w:t xml:space="preserve"> savings, </w:t>
      </w:r>
      <w:r w:rsidR="0004580B">
        <w:rPr>
          <w:szCs w:val="24"/>
        </w:rPr>
        <w:t xml:space="preserve">some </w:t>
      </w:r>
      <w:r w:rsidR="00101FA8">
        <w:rPr>
          <w:szCs w:val="24"/>
        </w:rPr>
        <w:t>measures</w:t>
      </w:r>
      <w:r>
        <w:rPr>
          <w:szCs w:val="24"/>
        </w:rPr>
        <w:t xml:space="preserve"> presented</w:t>
      </w:r>
      <w:r w:rsidR="00101FA8">
        <w:rPr>
          <w:szCs w:val="24"/>
        </w:rPr>
        <w:t xml:space="preserve"> may not be realistic for programs to address in the short</w:t>
      </w:r>
      <w:r w:rsidR="006615C5">
        <w:rPr>
          <w:szCs w:val="24"/>
        </w:rPr>
        <w:t xml:space="preserve"> </w:t>
      </w:r>
      <w:r w:rsidR="00101FA8">
        <w:rPr>
          <w:szCs w:val="24"/>
        </w:rPr>
        <w:t xml:space="preserve">term. For example, measures that would involve influencing manufacturers or policymakers </w:t>
      </w:r>
      <w:r>
        <w:rPr>
          <w:szCs w:val="24"/>
        </w:rPr>
        <w:t>are more likely</w:t>
      </w:r>
      <w:r w:rsidR="00101FA8">
        <w:rPr>
          <w:szCs w:val="24"/>
        </w:rPr>
        <w:t xml:space="preserve"> longer-term</w:t>
      </w:r>
      <w:r>
        <w:rPr>
          <w:szCs w:val="24"/>
        </w:rPr>
        <w:t xml:space="preserve"> savings opportunities</w:t>
      </w:r>
      <w:r w:rsidR="006615C5">
        <w:rPr>
          <w:szCs w:val="24"/>
        </w:rPr>
        <w:t>,</w:t>
      </w:r>
      <w:r w:rsidR="00101FA8">
        <w:rPr>
          <w:szCs w:val="24"/>
        </w:rPr>
        <w:t xml:space="preserve"> whereas measures </w:t>
      </w:r>
      <w:r>
        <w:rPr>
          <w:szCs w:val="24"/>
        </w:rPr>
        <w:t>like</w:t>
      </w:r>
      <w:r w:rsidR="00101FA8">
        <w:rPr>
          <w:szCs w:val="24"/>
        </w:rPr>
        <w:t xml:space="preserve"> downstream or midstream incentives, consumer education campaigns, or recycling programs are </w:t>
      </w:r>
      <w:r>
        <w:rPr>
          <w:szCs w:val="24"/>
        </w:rPr>
        <w:t xml:space="preserve">comparatively </w:t>
      </w:r>
      <w:r w:rsidR="00101FA8">
        <w:rPr>
          <w:szCs w:val="24"/>
        </w:rPr>
        <w:t>easier for a progr</w:t>
      </w:r>
      <w:r>
        <w:rPr>
          <w:szCs w:val="24"/>
        </w:rPr>
        <w:t>am to address in the short</w:t>
      </w:r>
      <w:r w:rsidR="006615C5">
        <w:rPr>
          <w:szCs w:val="24"/>
        </w:rPr>
        <w:t xml:space="preserve"> </w:t>
      </w:r>
      <w:r>
        <w:rPr>
          <w:szCs w:val="24"/>
        </w:rPr>
        <w:t>term. The</w:t>
      </w:r>
      <w:r w:rsidR="00101FA8">
        <w:rPr>
          <w:szCs w:val="24"/>
        </w:rPr>
        <w:t xml:space="preserve"> </w:t>
      </w:r>
      <w:r>
        <w:rPr>
          <w:szCs w:val="24"/>
        </w:rPr>
        <w:t>measures included in this section are categorized as either long-term or short-term</w:t>
      </w:r>
      <w:r w:rsidR="006710BE">
        <w:rPr>
          <w:szCs w:val="24"/>
        </w:rPr>
        <w:t xml:space="preserve"> based on the suggested strategies for addressing them</w:t>
      </w:r>
      <w:r>
        <w:rPr>
          <w:szCs w:val="24"/>
        </w:rPr>
        <w:t>.</w:t>
      </w:r>
    </w:p>
    <w:p w14:paraId="34F96A5C" w14:textId="14DA6D2A" w:rsidR="007C080D" w:rsidRPr="00A25870" w:rsidRDefault="007C080D" w:rsidP="00101FA8">
      <w:pPr>
        <w:rPr>
          <w:szCs w:val="24"/>
        </w:rPr>
      </w:pPr>
      <w:r>
        <w:rPr>
          <w:szCs w:val="24"/>
        </w:rPr>
        <w:t>For nearly all product categories, offering midstream or downstream incentives for ENERGY STAR models is a method for achieving savings. However, it is worth noting preemptively that ENERGY STAR has a high market penetration rate among consumer electronics products,</w:t>
      </w:r>
      <w:r>
        <w:rPr>
          <w:rStyle w:val="FootnoteReference"/>
          <w:szCs w:val="24"/>
        </w:rPr>
        <w:footnoteReference w:id="20"/>
      </w:r>
      <w:r>
        <w:rPr>
          <w:szCs w:val="24"/>
        </w:rPr>
        <w:t xml:space="preserve"> </w:t>
      </w:r>
      <w:r w:rsidR="008A2547">
        <w:rPr>
          <w:szCs w:val="24"/>
        </w:rPr>
        <w:t xml:space="preserve">thus </w:t>
      </w:r>
      <w:r>
        <w:rPr>
          <w:szCs w:val="24"/>
        </w:rPr>
        <w:t>increasing the likelihood of program free ridership. As a result, the team suggests that if programs incorporate the ENERGY STAR label into their program design, they may wish to require that models reach a certain percentage in efficiency over ENERGY STAR’s minimum requirement</w:t>
      </w:r>
      <w:r w:rsidR="006710BE">
        <w:rPr>
          <w:szCs w:val="24"/>
        </w:rPr>
        <w:t xml:space="preserve"> or </w:t>
      </w:r>
      <w:r w:rsidR="008A2547">
        <w:rPr>
          <w:szCs w:val="24"/>
        </w:rPr>
        <w:t xml:space="preserve">that they </w:t>
      </w:r>
      <w:r w:rsidR="006710BE">
        <w:rPr>
          <w:szCs w:val="24"/>
        </w:rPr>
        <w:t>are recognized by ENERGY STAR Most Efficient (if applicable)</w:t>
      </w:r>
      <w:r>
        <w:rPr>
          <w:szCs w:val="24"/>
        </w:rPr>
        <w:t xml:space="preserve">. Section </w:t>
      </w:r>
      <w:r>
        <w:rPr>
          <w:szCs w:val="24"/>
        </w:rPr>
        <w:fldChar w:fldCharType="begin"/>
      </w:r>
      <w:r>
        <w:rPr>
          <w:szCs w:val="24"/>
        </w:rPr>
        <w:instrText xml:space="preserve"> REF _Ref398831417 \r \h </w:instrText>
      </w:r>
      <w:r>
        <w:rPr>
          <w:szCs w:val="24"/>
        </w:rPr>
      </w:r>
      <w:r>
        <w:rPr>
          <w:szCs w:val="24"/>
        </w:rPr>
        <w:fldChar w:fldCharType="separate"/>
      </w:r>
      <w:r w:rsidR="00302A02">
        <w:rPr>
          <w:szCs w:val="24"/>
        </w:rPr>
        <w:t>4</w:t>
      </w:r>
      <w:r>
        <w:rPr>
          <w:szCs w:val="24"/>
        </w:rPr>
        <w:fldChar w:fldCharType="end"/>
      </w:r>
      <w:r>
        <w:rPr>
          <w:szCs w:val="24"/>
        </w:rPr>
        <w:t xml:space="preserve"> discusses this and additional considerations of the market that might influence the effectiveness of a program design.</w:t>
      </w:r>
    </w:p>
    <w:p w14:paraId="5F722ACE" w14:textId="77777777" w:rsidR="00A25870" w:rsidRDefault="00A25870" w:rsidP="006710BE">
      <w:pPr>
        <w:pStyle w:val="Heading2"/>
        <w:keepLines/>
      </w:pPr>
      <w:bookmarkStart w:id="27" w:name="_Toc401667844"/>
      <w:r>
        <w:lastRenderedPageBreak/>
        <w:t>Methodology for Estimating Savings</w:t>
      </w:r>
      <w:bookmarkEnd w:id="27"/>
    </w:p>
    <w:p w14:paraId="39E10371" w14:textId="77777777" w:rsidR="00D54BC2" w:rsidRPr="003D460E" w:rsidRDefault="009156E2" w:rsidP="006710BE">
      <w:pPr>
        <w:keepNext/>
        <w:keepLines/>
      </w:pPr>
      <w:r>
        <w:t>NMR</w:t>
      </w:r>
      <w:r w:rsidR="002E1CFC">
        <w:t xml:space="preserve"> largely</w:t>
      </w:r>
      <w:r w:rsidR="003D460E" w:rsidRPr="003D460E">
        <w:t xml:space="preserve"> </w:t>
      </w:r>
      <w:r w:rsidR="002E1CFC">
        <w:t>relied on</w:t>
      </w:r>
      <w:r w:rsidR="003D460E" w:rsidRPr="003D460E">
        <w:t xml:space="preserve"> </w:t>
      </w:r>
      <w:r w:rsidR="005346E9">
        <w:t xml:space="preserve">the following </w:t>
      </w:r>
      <w:r w:rsidR="006710BE">
        <w:t>four</w:t>
      </w:r>
      <w:r w:rsidR="006710BE" w:rsidRPr="003D460E">
        <w:t xml:space="preserve"> </w:t>
      </w:r>
      <w:r w:rsidR="003D460E" w:rsidRPr="003D460E">
        <w:t xml:space="preserve">sources that </w:t>
      </w:r>
      <w:r w:rsidR="002E1CFC">
        <w:t xml:space="preserve">suggested savings measures and quantified their associated </w:t>
      </w:r>
      <w:r w:rsidR="003D460E" w:rsidRPr="003D460E">
        <w:t>savings</w:t>
      </w:r>
      <w:r w:rsidR="000C3158">
        <w:t xml:space="preserve"> for the five product categories of interest</w:t>
      </w:r>
      <w:r w:rsidR="003D460E">
        <w:t>:</w:t>
      </w:r>
    </w:p>
    <w:p w14:paraId="084DE164" w14:textId="5412FCFE" w:rsidR="00251611" w:rsidRPr="009156E2" w:rsidRDefault="009156E2" w:rsidP="006710BE">
      <w:pPr>
        <w:pStyle w:val="ListParagraph"/>
        <w:keepNext/>
        <w:keepLines/>
        <w:numPr>
          <w:ilvl w:val="0"/>
          <w:numId w:val="27"/>
        </w:numPr>
      </w:pPr>
      <w:r>
        <w:t>Northw</w:t>
      </w:r>
      <w:r w:rsidR="00105A21">
        <w:t>est Energy Efficiency Alliance</w:t>
      </w:r>
      <w:r>
        <w:t xml:space="preserve"> (</w:t>
      </w:r>
      <w:r w:rsidR="00105A21">
        <w:t>NEEA</w:t>
      </w:r>
      <w:r>
        <w:t>)</w:t>
      </w:r>
      <w:r w:rsidRPr="009156E2">
        <w:t xml:space="preserve"> </w:t>
      </w:r>
      <w:r>
        <w:t>published savings calculation tools for TV</w:t>
      </w:r>
      <w:r w:rsidR="005346E9">
        <w:t>s</w:t>
      </w:r>
      <w:r>
        <w:t>, STB</w:t>
      </w:r>
      <w:r w:rsidR="005346E9">
        <w:t>s</w:t>
      </w:r>
      <w:r>
        <w:t xml:space="preserve">, and PCs. </w:t>
      </w:r>
      <w:r w:rsidR="005346E9">
        <w:t>T</w:t>
      </w:r>
      <w:r>
        <w:t xml:space="preserve">hese tools were made available in 2012, but </w:t>
      </w:r>
      <w:r w:rsidR="005346E9">
        <w:t xml:space="preserve">they </w:t>
      </w:r>
      <w:r>
        <w:t>make projecti</w:t>
      </w:r>
      <w:r w:rsidR="00105A21">
        <w:t>ons for each year through 2014.</w:t>
      </w:r>
    </w:p>
    <w:p w14:paraId="2ECC7CEA" w14:textId="77777777" w:rsidR="00251611" w:rsidRPr="009156E2" w:rsidRDefault="00105A21" w:rsidP="006710BE">
      <w:pPr>
        <w:pStyle w:val="ListParagraph"/>
        <w:keepNext/>
        <w:keepLines/>
        <w:numPr>
          <w:ilvl w:val="0"/>
          <w:numId w:val="27"/>
        </w:numPr>
      </w:pPr>
      <w:r>
        <w:t>Natural</w:t>
      </w:r>
      <w:r w:rsidR="009156E2">
        <w:t xml:space="preserve"> Resources Defense Council (</w:t>
      </w:r>
      <w:r w:rsidR="00251611" w:rsidRPr="009156E2">
        <w:t>NRDC</w:t>
      </w:r>
      <w:r w:rsidR="009156E2">
        <w:t>) conducted research on the energy consumption and savings possibilities associated with netwo</w:t>
      </w:r>
      <w:r>
        <w:t>rk equipment and game consoles.</w:t>
      </w:r>
    </w:p>
    <w:p w14:paraId="75E0F0B3" w14:textId="77777777" w:rsidR="00A52F5A" w:rsidRPr="009156E2" w:rsidRDefault="00A52F5A" w:rsidP="006710BE">
      <w:pPr>
        <w:pStyle w:val="ListParagraph"/>
        <w:keepNext/>
        <w:keepLines/>
        <w:numPr>
          <w:ilvl w:val="0"/>
          <w:numId w:val="27"/>
        </w:numPr>
      </w:pPr>
      <w:r>
        <w:t xml:space="preserve">Northeast Energy Efficiency Partnerships (NEEP) published a report outlining a strategy for the Northeast states to address the energy efficiency of consumer electronics. The report offers quantitative consumption and savings figures </w:t>
      </w:r>
      <w:r w:rsidR="00D631DD">
        <w:t>as well as</w:t>
      </w:r>
      <w:r>
        <w:t xml:space="preserve"> a market assessment and recommendations.</w:t>
      </w:r>
    </w:p>
    <w:p w14:paraId="517EFF1C" w14:textId="77777777" w:rsidR="00251611" w:rsidRDefault="00251611" w:rsidP="006710BE">
      <w:pPr>
        <w:pStyle w:val="ListParagraph"/>
        <w:keepLines/>
        <w:numPr>
          <w:ilvl w:val="0"/>
          <w:numId w:val="27"/>
        </w:numPr>
      </w:pPr>
      <w:r w:rsidRPr="009156E2">
        <w:t>ENERGY STAR</w:t>
      </w:r>
      <w:r w:rsidR="009156E2" w:rsidRPr="009156E2">
        <w:t>’s product</w:t>
      </w:r>
      <w:r w:rsidR="00D631DD">
        <w:t>-</w:t>
      </w:r>
      <w:r w:rsidR="009156E2" w:rsidRPr="009156E2">
        <w:t xml:space="preserve">specific </w:t>
      </w:r>
      <w:r w:rsidR="009156E2">
        <w:t>web</w:t>
      </w:r>
      <w:r w:rsidR="00D631DD">
        <w:t xml:space="preserve"> </w:t>
      </w:r>
      <w:r w:rsidR="009156E2" w:rsidRPr="009156E2">
        <w:t xml:space="preserve">pages </w:t>
      </w:r>
      <w:r w:rsidR="009156E2">
        <w:t>report</w:t>
      </w:r>
      <w:r w:rsidR="009156E2" w:rsidRPr="009156E2">
        <w:t xml:space="preserve"> the percentage</w:t>
      </w:r>
      <w:r w:rsidR="00CC64C6">
        <w:t>s</w:t>
      </w:r>
      <w:r w:rsidR="009156E2" w:rsidRPr="009156E2">
        <w:t xml:space="preserve"> of savings available from selecting ENERGY STAR model</w:t>
      </w:r>
      <w:r w:rsidR="00105A21">
        <w:t xml:space="preserve">s over </w:t>
      </w:r>
      <w:r w:rsidR="009156E2" w:rsidRPr="009156E2">
        <w:t>standard model</w:t>
      </w:r>
      <w:r w:rsidR="00105A21">
        <w:t>s</w:t>
      </w:r>
      <w:r w:rsidR="009156E2">
        <w:t>.</w:t>
      </w:r>
    </w:p>
    <w:p w14:paraId="100DA739" w14:textId="18007409" w:rsidR="00C75CF9" w:rsidRDefault="00C75CF9" w:rsidP="00494456">
      <w:r w:rsidDel="009314E8">
        <w:t xml:space="preserve">NMR </w:t>
      </w:r>
      <w:r w:rsidR="000C3158">
        <w:t>made every effort</w:t>
      </w:r>
      <w:r w:rsidDel="009314E8">
        <w:t xml:space="preserve"> to use the calculations of previous researchers to estimate energy savings both in terms of </w:t>
      </w:r>
      <w:r w:rsidR="00AF58BF">
        <w:t>kilow</w:t>
      </w:r>
      <w:r w:rsidDel="009314E8">
        <w:t xml:space="preserve">att hours and savings percentages. However, in many instances, NMR needed to perform its own calculations to arrive at </w:t>
      </w:r>
      <w:r>
        <w:t xml:space="preserve">either the </w:t>
      </w:r>
      <w:r w:rsidR="00AF58BF">
        <w:t>kilow</w:t>
      </w:r>
      <w:r>
        <w:t>att hours or savings percentages</w:t>
      </w:r>
      <w:r w:rsidDel="009314E8">
        <w:t>. Th</w:t>
      </w:r>
      <w:r>
        <w:t>e</w:t>
      </w:r>
      <w:r w:rsidDel="009314E8">
        <w:t xml:space="preserve"> </w:t>
      </w:r>
      <w:r>
        <w:t xml:space="preserve">information presented </w:t>
      </w:r>
      <w:r w:rsidR="00D332D6">
        <w:t>in this section</w:t>
      </w:r>
      <w:r w:rsidDel="009314E8">
        <w:t xml:space="preserve"> </w:t>
      </w:r>
      <w:r>
        <w:t xml:space="preserve">does its best to </w:t>
      </w:r>
      <w:r w:rsidDel="009314E8">
        <w:t>clarif</w:t>
      </w:r>
      <w:r>
        <w:t>y</w:t>
      </w:r>
      <w:r w:rsidDel="009314E8">
        <w:t xml:space="preserve"> where NMR made these estimates</w:t>
      </w:r>
      <w:r>
        <w:t xml:space="preserve"> and how the team went about making the calculations</w:t>
      </w:r>
      <w:r w:rsidDel="009314E8">
        <w:t>.</w:t>
      </w:r>
    </w:p>
    <w:p w14:paraId="76D4E535" w14:textId="77777777" w:rsidR="00F32829" w:rsidRDefault="003D460E" w:rsidP="00494456">
      <w:r w:rsidRPr="003D460E">
        <w:t>Given that</w:t>
      </w:r>
      <w:r>
        <w:t xml:space="preserve"> these publications</w:t>
      </w:r>
      <w:r w:rsidR="008569F5">
        <w:t xml:space="preserve"> </w:t>
      </w:r>
      <w:r w:rsidR="00E90EB4">
        <w:t>drew</w:t>
      </w:r>
      <w:r w:rsidR="008569F5">
        <w:t xml:space="preserve"> on differing research methods, </w:t>
      </w:r>
      <w:r>
        <w:t>calculation inputs are</w:t>
      </w:r>
      <w:r w:rsidR="00234B9D">
        <w:t xml:space="preserve"> </w:t>
      </w:r>
      <w:r w:rsidR="003B46A5">
        <w:t xml:space="preserve">sometimes </w:t>
      </w:r>
      <w:r w:rsidR="00E70465">
        <w:t>in</w:t>
      </w:r>
      <w:r>
        <w:t xml:space="preserve">consistent across sources. </w:t>
      </w:r>
      <w:r w:rsidR="00D332D6">
        <w:t>These differences are not surprising</w:t>
      </w:r>
      <w:r w:rsidR="003B46A5">
        <w:t>,</w:t>
      </w:r>
      <w:r w:rsidR="00D332D6">
        <w:t xml:space="preserve"> </w:t>
      </w:r>
      <w:r w:rsidR="003B46A5">
        <w:t>considering</w:t>
      </w:r>
      <w:r w:rsidR="00D332D6">
        <w:t xml:space="preserve"> the rapid changes in this market and the variation in equipment configurations. </w:t>
      </w:r>
      <w:r w:rsidR="00F32829">
        <w:t xml:space="preserve">To minimize confusion and “stay true” to a research group’s methods, </w:t>
      </w:r>
      <w:r>
        <w:t>NMR</w:t>
      </w:r>
      <w:r w:rsidR="00F915A2">
        <w:t xml:space="preserve"> attempted to limit calculation inputs </w:t>
      </w:r>
      <w:r w:rsidR="008569F5">
        <w:t xml:space="preserve">for a given </w:t>
      </w:r>
      <w:r w:rsidR="00E70465">
        <w:t xml:space="preserve">savings </w:t>
      </w:r>
      <w:r w:rsidR="008569F5">
        <w:t>measure to</w:t>
      </w:r>
      <w:r w:rsidR="00F915A2">
        <w:t xml:space="preserve"> as few sources as possibl</w:t>
      </w:r>
      <w:r w:rsidR="008569F5">
        <w:t>e.</w:t>
      </w:r>
      <w:r w:rsidR="00566F48">
        <w:t xml:space="preserve"> </w:t>
      </w:r>
      <w:r w:rsidR="00D332D6">
        <w:t>One</w:t>
      </w:r>
      <w:r w:rsidR="00DE6E5B">
        <w:t xml:space="preserve"> example</w:t>
      </w:r>
      <w:r w:rsidR="00F32829">
        <w:t xml:space="preserve"> of this approach</w:t>
      </w:r>
      <w:r w:rsidR="00D332D6">
        <w:t xml:space="preserve"> is as follows</w:t>
      </w:r>
      <w:r w:rsidR="00FA0270">
        <w:t>:</w:t>
      </w:r>
    </w:p>
    <w:p w14:paraId="606A2899" w14:textId="77777777" w:rsidR="00F32829" w:rsidRDefault="00DE6E5B" w:rsidP="00EF450C">
      <w:pPr>
        <w:pStyle w:val="ListParagraph"/>
        <w:numPr>
          <w:ilvl w:val="0"/>
          <w:numId w:val="33"/>
        </w:numPr>
      </w:pPr>
      <w:r>
        <w:t>NEEA estimated that</w:t>
      </w:r>
      <w:r w:rsidR="00C75CF9">
        <w:t xml:space="preserve"> TV brightness optimization</w:t>
      </w:r>
      <w:r w:rsidR="0044440D">
        <w:t xml:space="preserve"> </w:t>
      </w:r>
      <w:r w:rsidR="00C75CF9">
        <w:t>could save 35</w:t>
      </w:r>
      <w:r w:rsidR="008A2547">
        <w:t xml:space="preserve"> </w:t>
      </w:r>
      <w:r w:rsidR="00C75CF9">
        <w:t>kWh/year per</w:t>
      </w:r>
      <w:r w:rsidR="00F32829">
        <w:t xml:space="preserve"> installed</w:t>
      </w:r>
      <w:r w:rsidR="00C75CF9">
        <w:t xml:space="preserve"> TV.</w:t>
      </w:r>
      <w:r>
        <w:t xml:space="preserve"> </w:t>
      </w:r>
    </w:p>
    <w:p w14:paraId="63A469A5" w14:textId="77777777" w:rsidR="00F32829" w:rsidRDefault="00C75CF9" w:rsidP="00EF450C">
      <w:pPr>
        <w:pStyle w:val="ListParagraph"/>
        <w:numPr>
          <w:ilvl w:val="0"/>
          <w:numId w:val="33"/>
        </w:numPr>
      </w:pPr>
      <w:r>
        <w:t>NMR’s next step was to translate the 35</w:t>
      </w:r>
      <w:r w:rsidR="008A2547">
        <w:t xml:space="preserve"> </w:t>
      </w:r>
      <w:r>
        <w:t xml:space="preserve">kWh/year </w:t>
      </w:r>
      <w:r w:rsidR="0044440D">
        <w:t>to a</w:t>
      </w:r>
      <w:r>
        <w:t xml:space="preserve"> percentage saved</w:t>
      </w:r>
      <w:r w:rsidR="00F32829">
        <w:t xml:space="preserve"> by comparing it with the average UEC of an installed TV</w:t>
      </w:r>
      <w:r>
        <w:t xml:space="preserve">. </w:t>
      </w:r>
    </w:p>
    <w:p w14:paraId="3575C6A5" w14:textId="1C4179D2" w:rsidR="00F32829" w:rsidRDefault="00C75CF9" w:rsidP="00EF450C">
      <w:pPr>
        <w:pStyle w:val="ListParagraph"/>
        <w:numPr>
          <w:ilvl w:val="0"/>
          <w:numId w:val="33"/>
        </w:numPr>
      </w:pPr>
      <w:r>
        <w:t>In the process of making this calculation, NMR noted vast differences</w:t>
      </w:r>
      <w:r w:rsidR="00D332D6">
        <w:t xml:space="preserve"> in</w:t>
      </w:r>
      <w:r>
        <w:t xml:space="preserve"> </w:t>
      </w:r>
      <w:r w:rsidR="00D332D6">
        <w:t xml:space="preserve">estimated </w:t>
      </w:r>
      <w:r>
        <w:t xml:space="preserve">average UEC among the </w:t>
      </w:r>
      <w:r w:rsidR="00DE6E5B">
        <w:t>installed base of TVs</w:t>
      </w:r>
      <w:r>
        <w:t xml:space="preserve">: NEEA estimated it </w:t>
      </w:r>
      <w:r w:rsidR="0044440D">
        <w:t>to be</w:t>
      </w:r>
      <w:r w:rsidR="00DE6E5B">
        <w:t xml:space="preserve"> 256</w:t>
      </w:r>
      <w:r w:rsidR="008A2547">
        <w:t xml:space="preserve"> </w:t>
      </w:r>
      <w:r w:rsidR="00DE6E5B">
        <w:t>kWh/year</w:t>
      </w:r>
      <w:r w:rsidR="00000BE3">
        <w:t xml:space="preserve"> per TV</w:t>
      </w:r>
      <w:r w:rsidR="0044440D">
        <w:t>,</w:t>
      </w:r>
      <w:r w:rsidR="00DE6E5B">
        <w:t xml:space="preserve"> while Fraunhofer estimated </w:t>
      </w:r>
      <w:r>
        <w:t xml:space="preserve">it </w:t>
      </w:r>
      <w:r w:rsidR="0044440D">
        <w:t>to be</w:t>
      </w:r>
      <w:r w:rsidR="00DE6E5B">
        <w:t xml:space="preserve"> 166</w:t>
      </w:r>
      <w:r w:rsidR="008A2547">
        <w:t xml:space="preserve"> </w:t>
      </w:r>
      <w:r w:rsidR="00DE6E5B">
        <w:t>kWh/year</w:t>
      </w:r>
      <w:r w:rsidR="00000BE3">
        <w:t xml:space="preserve"> per TV</w:t>
      </w:r>
      <w:r w:rsidR="00DE6E5B">
        <w:t xml:space="preserve">. </w:t>
      </w:r>
    </w:p>
    <w:p w14:paraId="02526A68" w14:textId="77777777" w:rsidR="00554A92" w:rsidRDefault="00C75CF9" w:rsidP="00EF450C">
      <w:pPr>
        <w:pStyle w:val="ListParagraph"/>
        <w:numPr>
          <w:ilvl w:val="0"/>
          <w:numId w:val="33"/>
        </w:numPr>
      </w:pPr>
      <w:r>
        <w:lastRenderedPageBreak/>
        <w:t xml:space="preserve">To estimate percentage </w:t>
      </w:r>
      <w:r w:rsidR="00F32829">
        <w:t xml:space="preserve">of consumption </w:t>
      </w:r>
      <w:r>
        <w:t>saved</w:t>
      </w:r>
      <w:r w:rsidR="00F32829">
        <w:t xml:space="preserve"> resulting from implementing brightness optimization</w:t>
      </w:r>
      <w:r>
        <w:t xml:space="preserve">, </w:t>
      </w:r>
      <w:r w:rsidR="00DE6E5B">
        <w:t xml:space="preserve">NMR </w:t>
      </w:r>
      <w:r>
        <w:t>compared</w:t>
      </w:r>
      <w:r w:rsidR="00DE6E5B">
        <w:t xml:space="preserve"> NEEA’s savings estimate </w:t>
      </w:r>
      <w:r w:rsidR="00F32829">
        <w:t>(35</w:t>
      </w:r>
      <w:r w:rsidR="0044440D">
        <w:t xml:space="preserve"> </w:t>
      </w:r>
      <w:r w:rsidR="00F32829">
        <w:t xml:space="preserve">kWh/year) </w:t>
      </w:r>
      <w:r w:rsidR="00DE6E5B">
        <w:t xml:space="preserve">to </w:t>
      </w:r>
      <w:r w:rsidR="00F32829">
        <w:t xml:space="preserve">NEEA’s </w:t>
      </w:r>
      <w:r>
        <w:t>own</w:t>
      </w:r>
      <w:r w:rsidR="00DE6E5B">
        <w:t xml:space="preserve"> </w:t>
      </w:r>
      <w:r w:rsidR="00F32829">
        <w:t xml:space="preserve">UEC </w:t>
      </w:r>
      <w:r w:rsidR="00DE6E5B">
        <w:t>estimate</w:t>
      </w:r>
      <w:r w:rsidR="00F32829">
        <w:t xml:space="preserve"> (256</w:t>
      </w:r>
      <w:r w:rsidR="0044440D">
        <w:t xml:space="preserve"> </w:t>
      </w:r>
      <w:r w:rsidR="00F32829">
        <w:t>kWh/year)</w:t>
      </w:r>
      <w:r>
        <w:t>, arriving at 14% potential savings</w:t>
      </w:r>
      <w:r w:rsidR="00DE6E5B">
        <w:t xml:space="preserve"> (35 / 256 = 14%).</w:t>
      </w:r>
      <w:r w:rsidR="00554A92">
        <w:rPr>
          <w:rStyle w:val="FootnoteReference"/>
        </w:rPr>
        <w:footnoteReference w:id="21"/>
      </w:r>
      <w:r w:rsidR="00DE6E5B">
        <w:t xml:space="preserve"> </w:t>
      </w:r>
    </w:p>
    <w:p w14:paraId="68D40D05" w14:textId="77777777" w:rsidR="00C74DBD" w:rsidRDefault="00C74DBD" w:rsidP="00C74DBD">
      <w:pPr>
        <w:pStyle w:val="Heading2"/>
      </w:pPr>
      <w:bookmarkStart w:id="28" w:name="_Toc399859722"/>
      <w:bookmarkStart w:id="29" w:name="_Toc399859780"/>
      <w:bookmarkStart w:id="30" w:name="_Toc399860125"/>
      <w:bookmarkStart w:id="31" w:name="_Toc399946314"/>
      <w:bookmarkStart w:id="32" w:name="_Ref398899880"/>
      <w:bookmarkStart w:id="33" w:name="_Toc401667845"/>
      <w:bookmarkEnd w:id="28"/>
      <w:bookmarkEnd w:id="29"/>
      <w:bookmarkEnd w:id="30"/>
      <w:bookmarkEnd w:id="31"/>
      <w:r>
        <w:t>Televisions</w:t>
      </w:r>
      <w:bookmarkEnd w:id="32"/>
      <w:bookmarkEnd w:id="33"/>
    </w:p>
    <w:p w14:paraId="2A045C3F" w14:textId="5F0B4440" w:rsidR="00691645" w:rsidRPr="005C63F5" w:rsidRDefault="00F537F1" w:rsidP="005C63F5">
      <w:r>
        <w:fldChar w:fldCharType="begin"/>
      </w:r>
      <w:r>
        <w:instrText xml:space="preserve"> REF _Ref399859879 \h </w:instrText>
      </w:r>
      <w:r>
        <w:fldChar w:fldCharType="separate"/>
      </w:r>
      <w:r w:rsidR="00302A02" w:rsidRPr="00FF690D">
        <w:t xml:space="preserve">Table </w:t>
      </w:r>
      <w:r w:rsidR="00302A02">
        <w:rPr>
          <w:noProof/>
        </w:rPr>
        <w:t>3</w:t>
      </w:r>
      <w:r>
        <w:fldChar w:fldCharType="end"/>
      </w:r>
      <w:r>
        <w:t xml:space="preserve"> </w:t>
      </w:r>
      <w:r w:rsidR="00F43304">
        <w:t>lists measures that could be taken to reduce TV energy consumption</w:t>
      </w:r>
      <w:r w:rsidR="004930D8">
        <w:t xml:space="preserve"> </w:t>
      </w:r>
      <w:r w:rsidR="00B81146">
        <w:t xml:space="preserve">(As shown in the table, </w:t>
      </w:r>
      <w:r w:rsidR="004930D8">
        <w:t>NEEA investigated the savings associated with most of these measures</w:t>
      </w:r>
      <w:r w:rsidR="00B81146">
        <w:t>)</w:t>
      </w:r>
      <w:r w:rsidR="00F43304">
        <w:t xml:space="preserve">. </w:t>
      </w:r>
      <w:r w:rsidR="004930D8">
        <w:t xml:space="preserve">The measures are varied, including selecting new models based on labeling and recognition, </w:t>
      </w:r>
      <w:r w:rsidR="00EE4EE6">
        <w:t xml:space="preserve">replacing the installed base of TVs, </w:t>
      </w:r>
      <w:r w:rsidR="004930D8">
        <w:t>or a number of specific technical changes to the design of TVs.</w:t>
      </w:r>
      <w:r w:rsidR="00EC1683">
        <w:t xml:space="preserve"> </w:t>
      </w:r>
      <w:r w:rsidR="00F43304">
        <w:t xml:space="preserve">Measures 1 and 2 </w:t>
      </w:r>
      <w:r w:rsidR="001C39FA">
        <w:t>may have</w:t>
      </w:r>
      <w:r w:rsidR="00F43304">
        <w:t xml:space="preserve"> the potential to generate the most savings. </w:t>
      </w:r>
      <w:r w:rsidR="008C7ED3">
        <w:t>The first measure</w:t>
      </w:r>
      <w:r w:rsidR="00F43304">
        <w:t xml:space="preserve"> suggests the purchase of models that are labeled or recognized as energy</w:t>
      </w:r>
      <w:r w:rsidR="0018534C">
        <w:t>-</w:t>
      </w:r>
      <w:r w:rsidR="00F43304">
        <w:t xml:space="preserve">efficient instead of purchasing </w:t>
      </w:r>
      <w:r w:rsidR="00CB5661" w:rsidRPr="00CB5661">
        <w:rPr>
          <w:i/>
        </w:rPr>
        <w:t>new</w:t>
      </w:r>
      <w:r w:rsidR="00CB5661">
        <w:t xml:space="preserve"> </w:t>
      </w:r>
      <w:r w:rsidR="00F43304">
        <w:t>standard models</w:t>
      </w:r>
      <w:r w:rsidR="001C39FA">
        <w:t>; f</w:t>
      </w:r>
      <w:r w:rsidR="00CB5661">
        <w:t>or example, s</w:t>
      </w:r>
      <w:r w:rsidR="00F43304">
        <w:t xml:space="preserve">electing new ENERGY STAR </w:t>
      </w:r>
      <w:r w:rsidR="00CB5661">
        <w:t>Most Efficient 60” TVs</w:t>
      </w:r>
      <w:r w:rsidR="00F43304">
        <w:t xml:space="preserve"> </w:t>
      </w:r>
      <w:r w:rsidR="001C39FA">
        <w:t>might</w:t>
      </w:r>
      <w:r w:rsidR="00F43304">
        <w:t xml:space="preserve"> offer </w:t>
      </w:r>
      <w:r w:rsidR="00CB5661">
        <w:t>38</w:t>
      </w:r>
      <w:r w:rsidR="00F43304">
        <w:t xml:space="preserve">% savings in </w:t>
      </w:r>
      <w:r w:rsidR="008C7ED3">
        <w:t>UEC</w:t>
      </w:r>
      <w:r w:rsidR="00F43304">
        <w:t xml:space="preserve"> compared to standard new TV models</w:t>
      </w:r>
      <w:r w:rsidR="00394E6F">
        <w:t xml:space="preserve"> </w:t>
      </w:r>
      <w:r w:rsidR="001C39FA">
        <w:t>of the same size</w:t>
      </w:r>
      <w:r w:rsidR="00394E6F">
        <w:t xml:space="preserve">. </w:t>
      </w:r>
      <w:r w:rsidR="00EE4EE6">
        <w:t xml:space="preserve">Replacing older installed TV models </w:t>
      </w:r>
      <w:r w:rsidR="00CB627B">
        <w:t xml:space="preserve">larger than 32” </w:t>
      </w:r>
      <w:r w:rsidR="00EE4EE6">
        <w:t>(Measure 2</w:t>
      </w:r>
      <w:r w:rsidR="00B81146">
        <w:t>—early retirement</w:t>
      </w:r>
      <w:r w:rsidR="00EE4EE6">
        <w:t xml:space="preserve">) with new “best-in-class” </w:t>
      </w:r>
      <w:r w:rsidR="00CB627B">
        <w:t xml:space="preserve">42” </w:t>
      </w:r>
      <w:r w:rsidR="00EE4EE6">
        <w:t xml:space="preserve">models that are included in ENERGY STAR’s Most Efficient list could offer </w:t>
      </w:r>
      <w:r w:rsidR="00CB627B">
        <w:t xml:space="preserve">35 kWh/year UEC </w:t>
      </w:r>
      <w:r w:rsidR="00EE4EE6">
        <w:t xml:space="preserve">over the installed base. </w:t>
      </w:r>
      <w:r w:rsidR="00EB6ADB">
        <w:t xml:space="preserve">Both of these measures </w:t>
      </w:r>
      <w:r w:rsidR="00C53B35">
        <w:t>could</w:t>
      </w:r>
      <w:r w:rsidR="00EB6ADB">
        <w:t xml:space="preserve"> be addressed in the short</w:t>
      </w:r>
      <w:r w:rsidR="00C53B35">
        <w:t xml:space="preserve"> </w:t>
      </w:r>
      <w:r w:rsidR="00EB6ADB">
        <w:t>term</w:t>
      </w:r>
      <w:r w:rsidR="00435413">
        <w:t>—</w:t>
      </w:r>
      <w:r w:rsidR="00EB6ADB">
        <w:t xml:space="preserve">such as through </w:t>
      </w:r>
      <w:r w:rsidR="004930D8">
        <w:t xml:space="preserve">incentives </w:t>
      </w:r>
      <w:r w:rsidR="00CB5661">
        <w:t>based on labels</w:t>
      </w:r>
      <w:r w:rsidR="00D80285">
        <w:t xml:space="preserve"> and </w:t>
      </w:r>
      <w:r w:rsidR="00CB5661">
        <w:t>recognition programs directed at end-user</w:t>
      </w:r>
      <w:r w:rsidR="00AF76C4">
        <w:t>s</w:t>
      </w:r>
      <w:r w:rsidR="00CB5661">
        <w:t>, retailers, and distributors</w:t>
      </w:r>
      <w:r w:rsidR="00EE4EE6">
        <w:t xml:space="preserve"> and TV recycling programs</w:t>
      </w:r>
      <w:r w:rsidR="00435413">
        <w:t>—</w:t>
      </w:r>
      <w:r w:rsidR="00EB6ADB">
        <w:t>and</w:t>
      </w:r>
      <w:r w:rsidR="00AF76C4">
        <w:t>, therefore,</w:t>
      </w:r>
      <w:r w:rsidR="00EB6ADB">
        <w:t xml:space="preserve"> </w:t>
      </w:r>
      <w:r w:rsidR="001C39FA">
        <w:t>could result in claimable savings</w:t>
      </w:r>
      <w:r w:rsidR="00CB5661">
        <w:t>.</w:t>
      </w:r>
      <w:bookmarkStart w:id="34" w:name="_Ref396728144"/>
    </w:p>
    <w:p w14:paraId="0453B827" w14:textId="77777777" w:rsidR="00FF690D" w:rsidRDefault="00FF690D">
      <w:pPr>
        <w:spacing w:after="200"/>
        <w:jc w:val="left"/>
      </w:pPr>
    </w:p>
    <w:p w14:paraId="1ACC6CCA" w14:textId="77777777" w:rsidR="00F537F1" w:rsidRDefault="00F537F1">
      <w:pPr>
        <w:spacing w:after="200"/>
        <w:jc w:val="left"/>
        <w:sectPr w:rsidR="00F537F1" w:rsidSect="004C67E5">
          <w:footerReference w:type="default" r:id="rId29"/>
          <w:pgSz w:w="12240" w:h="15840"/>
          <w:pgMar w:top="1440" w:right="1440" w:bottom="1440" w:left="1440" w:header="720" w:footer="720" w:gutter="0"/>
          <w:cols w:space="720"/>
          <w:docGrid w:linePitch="360"/>
        </w:sectPr>
      </w:pPr>
    </w:p>
    <w:p w14:paraId="2F7632D6" w14:textId="77777777" w:rsidR="009C3541" w:rsidRPr="00FF690D" w:rsidRDefault="009C3541" w:rsidP="009D3B67">
      <w:pPr>
        <w:pStyle w:val="Caption"/>
      </w:pPr>
      <w:bookmarkStart w:id="35" w:name="_Ref399859879"/>
      <w:bookmarkStart w:id="36" w:name="_Toc400007927"/>
      <w:r w:rsidRPr="00FF690D">
        <w:lastRenderedPageBreak/>
        <w:t xml:space="preserve">Table </w:t>
      </w:r>
      <w:fldSimple w:instr=" SEQ Table \* ARABIC ">
        <w:r w:rsidR="00302A02">
          <w:rPr>
            <w:noProof/>
          </w:rPr>
          <w:t>3</w:t>
        </w:r>
      </w:fldSimple>
      <w:bookmarkEnd w:id="34"/>
      <w:bookmarkEnd w:id="35"/>
      <w:r w:rsidRPr="00FF690D">
        <w:t>: Energy Savings Opportunities – Televisions</w:t>
      </w:r>
      <w:bookmarkEnd w:id="36"/>
    </w:p>
    <w:tbl>
      <w:tblPr>
        <w:tblStyle w:val="TableGrid"/>
        <w:tblW w:w="12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2"/>
        <w:gridCol w:w="2340"/>
        <w:gridCol w:w="1800"/>
        <w:gridCol w:w="4673"/>
        <w:gridCol w:w="2329"/>
      </w:tblGrid>
      <w:tr w:rsidR="005D30DB" w:rsidRPr="001B05A5" w14:paraId="12B31774" w14:textId="77777777" w:rsidTr="005D30DB">
        <w:trPr>
          <w:cantSplit/>
          <w:tblHeader/>
          <w:jc w:val="center"/>
        </w:trPr>
        <w:tc>
          <w:tcPr>
            <w:tcW w:w="1782" w:type="dxa"/>
            <w:tcBorders>
              <w:top w:val="single" w:sz="12" w:space="0" w:color="auto"/>
              <w:bottom w:val="double" w:sz="4" w:space="0" w:color="auto"/>
            </w:tcBorders>
            <w:vAlign w:val="center"/>
          </w:tcPr>
          <w:p w14:paraId="64891115" w14:textId="77777777" w:rsidR="005D30DB" w:rsidRPr="001B05A5" w:rsidRDefault="005D30DB" w:rsidP="00F43304">
            <w:pPr>
              <w:spacing w:after="0"/>
              <w:jc w:val="left"/>
              <w:rPr>
                <w:b/>
                <w:sz w:val="18"/>
                <w:szCs w:val="18"/>
              </w:rPr>
            </w:pPr>
            <w:r>
              <w:rPr>
                <w:b/>
                <w:sz w:val="18"/>
                <w:szCs w:val="18"/>
              </w:rPr>
              <w:t>Savings Measure</w:t>
            </w:r>
          </w:p>
        </w:tc>
        <w:tc>
          <w:tcPr>
            <w:tcW w:w="2340" w:type="dxa"/>
            <w:tcBorders>
              <w:top w:val="single" w:sz="12" w:space="0" w:color="auto"/>
              <w:bottom w:val="double" w:sz="4" w:space="0" w:color="auto"/>
            </w:tcBorders>
            <w:vAlign w:val="center"/>
          </w:tcPr>
          <w:p w14:paraId="79614E8F" w14:textId="77777777" w:rsidR="005D30DB" w:rsidRPr="001B05A5" w:rsidRDefault="005D30DB" w:rsidP="005D30DB">
            <w:pPr>
              <w:spacing w:after="0"/>
              <w:jc w:val="left"/>
              <w:rPr>
                <w:b/>
                <w:sz w:val="18"/>
                <w:szCs w:val="18"/>
              </w:rPr>
            </w:pPr>
            <w:r>
              <w:rPr>
                <w:b/>
                <w:sz w:val="18"/>
                <w:szCs w:val="18"/>
              </w:rPr>
              <w:t>Description</w:t>
            </w:r>
          </w:p>
        </w:tc>
        <w:tc>
          <w:tcPr>
            <w:tcW w:w="1800" w:type="dxa"/>
            <w:tcBorders>
              <w:top w:val="single" w:sz="12" w:space="0" w:color="auto"/>
              <w:bottom w:val="double" w:sz="4" w:space="0" w:color="auto"/>
            </w:tcBorders>
            <w:vAlign w:val="center"/>
          </w:tcPr>
          <w:p w14:paraId="250FAE6D" w14:textId="77777777" w:rsidR="005D30DB" w:rsidRPr="001B05A5" w:rsidRDefault="005D30DB" w:rsidP="00836252">
            <w:pPr>
              <w:spacing w:after="0"/>
              <w:jc w:val="left"/>
              <w:rPr>
                <w:b/>
                <w:sz w:val="18"/>
                <w:szCs w:val="18"/>
              </w:rPr>
            </w:pPr>
            <w:r>
              <w:rPr>
                <w:b/>
                <w:sz w:val="18"/>
                <w:szCs w:val="18"/>
              </w:rPr>
              <w:t xml:space="preserve">Estimated </w:t>
            </w:r>
            <w:r w:rsidRPr="001B05A5">
              <w:rPr>
                <w:b/>
                <w:sz w:val="18"/>
                <w:szCs w:val="18"/>
              </w:rPr>
              <w:t>Savings Potential</w:t>
            </w:r>
          </w:p>
        </w:tc>
        <w:tc>
          <w:tcPr>
            <w:tcW w:w="4673" w:type="dxa"/>
            <w:tcBorders>
              <w:top w:val="single" w:sz="12" w:space="0" w:color="auto"/>
              <w:bottom w:val="double" w:sz="4" w:space="0" w:color="auto"/>
            </w:tcBorders>
            <w:vAlign w:val="center"/>
          </w:tcPr>
          <w:p w14:paraId="65A3436B" w14:textId="77777777" w:rsidR="005D30DB" w:rsidRDefault="005D30DB" w:rsidP="00836252">
            <w:pPr>
              <w:spacing w:after="0"/>
              <w:jc w:val="left"/>
              <w:rPr>
                <w:b/>
                <w:sz w:val="18"/>
                <w:szCs w:val="18"/>
              </w:rPr>
            </w:pPr>
            <w:r>
              <w:rPr>
                <w:b/>
                <w:sz w:val="18"/>
                <w:szCs w:val="18"/>
              </w:rPr>
              <w:t>Assumptions for Savings Estimates</w:t>
            </w:r>
          </w:p>
        </w:tc>
        <w:tc>
          <w:tcPr>
            <w:tcW w:w="2329" w:type="dxa"/>
            <w:tcBorders>
              <w:left w:val="single" w:sz="12" w:space="0" w:color="auto"/>
              <w:bottom w:val="double" w:sz="4" w:space="0" w:color="auto"/>
            </w:tcBorders>
            <w:vAlign w:val="center"/>
          </w:tcPr>
          <w:p w14:paraId="435E4613" w14:textId="77777777" w:rsidR="005D30DB" w:rsidRPr="001B05A5" w:rsidRDefault="005D30DB" w:rsidP="00836252">
            <w:pPr>
              <w:spacing w:after="0"/>
              <w:jc w:val="left"/>
              <w:rPr>
                <w:b/>
                <w:sz w:val="18"/>
                <w:szCs w:val="18"/>
              </w:rPr>
            </w:pPr>
            <w:r>
              <w:rPr>
                <w:b/>
                <w:sz w:val="18"/>
                <w:szCs w:val="18"/>
              </w:rPr>
              <w:t>Suggestions or Example(s) of Implementation Strategies</w:t>
            </w:r>
          </w:p>
        </w:tc>
      </w:tr>
      <w:tr w:rsidR="005D30DB" w:rsidRPr="001B05A5" w14:paraId="729DAD76" w14:textId="77777777" w:rsidTr="005D30DB">
        <w:trPr>
          <w:cantSplit/>
          <w:jc w:val="center"/>
        </w:trPr>
        <w:tc>
          <w:tcPr>
            <w:tcW w:w="1782" w:type="dxa"/>
            <w:vMerge w:val="restart"/>
            <w:vAlign w:val="center"/>
          </w:tcPr>
          <w:p w14:paraId="280BB859" w14:textId="4E462C6E" w:rsidR="005D30DB" w:rsidRPr="001B05A5" w:rsidRDefault="004427B0" w:rsidP="008C7ED3">
            <w:pPr>
              <w:spacing w:after="0"/>
              <w:jc w:val="left"/>
              <w:rPr>
                <w:sz w:val="18"/>
                <w:szCs w:val="18"/>
              </w:rPr>
            </w:pPr>
            <w:r>
              <w:rPr>
                <w:sz w:val="18"/>
                <w:szCs w:val="18"/>
              </w:rPr>
              <w:t>1</w:t>
            </w:r>
            <w:r w:rsidR="005D30DB">
              <w:rPr>
                <w:sz w:val="18"/>
                <w:szCs w:val="18"/>
              </w:rPr>
              <w:t>) Labeled or Recognized Models</w:t>
            </w:r>
          </w:p>
        </w:tc>
        <w:tc>
          <w:tcPr>
            <w:tcW w:w="2340" w:type="dxa"/>
            <w:vMerge w:val="restart"/>
            <w:vAlign w:val="center"/>
          </w:tcPr>
          <w:p w14:paraId="64ABF536" w14:textId="6A673037" w:rsidR="005D30DB" w:rsidRPr="00462B98" w:rsidRDefault="005D30DB" w:rsidP="004427B0">
            <w:pPr>
              <w:spacing w:after="0"/>
              <w:jc w:val="left"/>
              <w:rPr>
                <w:sz w:val="18"/>
                <w:szCs w:val="18"/>
              </w:rPr>
            </w:pPr>
            <w:r w:rsidRPr="00462B98">
              <w:rPr>
                <w:sz w:val="18"/>
                <w:szCs w:val="18"/>
              </w:rPr>
              <w:t>Purchase TV models meeting ENERGY STAR specifications or percentages above ENERGY STAR specifications</w:t>
            </w:r>
            <w:r w:rsidR="004427B0">
              <w:rPr>
                <w:sz w:val="18"/>
                <w:szCs w:val="18"/>
              </w:rPr>
              <w:t xml:space="preserve"> or </w:t>
            </w:r>
            <w:r w:rsidRPr="00462B98">
              <w:rPr>
                <w:sz w:val="18"/>
                <w:szCs w:val="18"/>
              </w:rPr>
              <w:t xml:space="preserve">recognized by ENERGY </w:t>
            </w:r>
            <w:r w:rsidR="00CB627B">
              <w:rPr>
                <w:sz w:val="18"/>
                <w:szCs w:val="18"/>
              </w:rPr>
              <w:t xml:space="preserve">STAR </w:t>
            </w:r>
            <w:r w:rsidRPr="00462B98">
              <w:rPr>
                <w:sz w:val="18"/>
                <w:szCs w:val="18"/>
              </w:rPr>
              <w:t>Most Efficient.</w:t>
            </w:r>
          </w:p>
        </w:tc>
        <w:tc>
          <w:tcPr>
            <w:tcW w:w="1800" w:type="dxa"/>
            <w:vAlign w:val="center"/>
          </w:tcPr>
          <w:p w14:paraId="33EB1260" w14:textId="77777777" w:rsidR="005D30DB" w:rsidRPr="001B05A5" w:rsidRDefault="005D30DB" w:rsidP="008C7ED3">
            <w:pPr>
              <w:spacing w:after="0"/>
              <w:jc w:val="left"/>
              <w:rPr>
                <w:sz w:val="18"/>
                <w:szCs w:val="18"/>
              </w:rPr>
            </w:pPr>
            <w:r>
              <w:rPr>
                <w:sz w:val="18"/>
                <w:szCs w:val="18"/>
              </w:rPr>
              <w:t>43</w:t>
            </w:r>
            <w:r w:rsidR="0018534C">
              <w:rPr>
                <w:sz w:val="18"/>
                <w:szCs w:val="18"/>
              </w:rPr>
              <w:t xml:space="preserve"> </w:t>
            </w:r>
            <w:r>
              <w:rPr>
                <w:sz w:val="18"/>
                <w:szCs w:val="18"/>
              </w:rPr>
              <w:t xml:space="preserve">kWh/year or more than 25% savings in average UEC of </w:t>
            </w:r>
            <w:r w:rsidRPr="00C9653E">
              <w:rPr>
                <w:i/>
                <w:sz w:val="18"/>
                <w:szCs w:val="18"/>
              </w:rPr>
              <w:t>new</w:t>
            </w:r>
            <w:r>
              <w:rPr>
                <w:sz w:val="18"/>
                <w:szCs w:val="18"/>
              </w:rPr>
              <w:t xml:space="preserve"> units (if purchasing ENERGY STAR)</w:t>
            </w:r>
          </w:p>
        </w:tc>
        <w:tc>
          <w:tcPr>
            <w:tcW w:w="4673" w:type="dxa"/>
            <w:vAlign w:val="center"/>
          </w:tcPr>
          <w:p w14:paraId="5C2CCD15" w14:textId="77777777" w:rsidR="005D30DB" w:rsidRDefault="005D30DB" w:rsidP="008C7ED3">
            <w:pPr>
              <w:spacing w:after="0"/>
              <w:jc w:val="left"/>
              <w:rPr>
                <w:sz w:val="18"/>
                <w:szCs w:val="18"/>
              </w:rPr>
            </w:pPr>
            <w:r>
              <w:rPr>
                <w:sz w:val="18"/>
                <w:szCs w:val="18"/>
              </w:rPr>
              <w:t>-ENERGY STAR estimated that ENERGY STAR models are, on average, more than 25% more energy</w:t>
            </w:r>
            <w:r w:rsidR="0018534C">
              <w:rPr>
                <w:sz w:val="18"/>
                <w:szCs w:val="18"/>
              </w:rPr>
              <w:t>-</w:t>
            </w:r>
            <w:r>
              <w:rPr>
                <w:sz w:val="18"/>
                <w:szCs w:val="18"/>
              </w:rPr>
              <w:t>efficient than standard models.</w:t>
            </w:r>
          </w:p>
          <w:p w14:paraId="3DC48129" w14:textId="77777777" w:rsidR="005D30DB" w:rsidRDefault="005D30DB" w:rsidP="008C7ED3">
            <w:pPr>
              <w:spacing w:after="0"/>
              <w:jc w:val="left"/>
              <w:rPr>
                <w:sz w:val="18"/>
                <w:szCs w:val="18"/>
              </w:rPr>
            </w:pPr>
          </w:p>
          <w:p w14:paraId="369BD644" w14:textId="77777777" w:rsidR="005D30DB" w:rsidRDefault="005D30DB" w:rsidP="00CB5661">
            <w:pPr>
              <w:spacing w:after="0"/>
              <w:jc w:val="left"/>
              <w:rPr>
                <w:sz w:val="18"/>
                <w:szCs w:val="18"/>
              </w:rPr>
            </w:pPr>
            <w:r>
              <w:rPr>
                <w:sz w:val="18"/>
                <w:szCs w:val="18"/>
              </w:rPr>
              <w:t>-For example, the 2014 Connecticut Program Savings Document estimated that 40” ENERGY STAR TV models represent 43</w:t>
            </w:r>
            <w:r w:rsidR="0018534C">
              <w:rPr>
                <w:sz w:val="18"/>
                <w:szCs w:val="18"/>
              </w:rPr>
              <w:t xml:space="preserve"> </w:t>
            </w:r>
            <w:r>
              <w:rPr>
                <w:sz w:val="18"/>
                <w:szCs w:val="18"/>
              </w:rPr>
              <w:t>kWh/year in UEC savings over standard 40” models.</w:t>
            </w:r>
          </w:p>
        </w:tc>
        <w:tc>
          <w:tcPr>
            <w:tcW w:w="2329" w:type="dxa"/>
            <w:vMerge w:val="restart"/>
            <w:tcBorders>
              <w:left w:val="single" w:sz="12" w:space="0" w:color="auto"/>
            </w:tcBorders>
            <w:vAlign w:val="center"/>
          </w:tcPr>
          <w:p w14:paraId="1377B66A" w14:textId="090036D6" w:rsidR="005D30DB" w:rsidRPr="001B05A5" w:rsidRDefault="005D30DB" w:rsidP="007F0E14">
            <w:pPr>
              <w:spacing w:after="0"/>
              <w:jc w:val="left"/>
              <w:rPr>
                <w:sz w:val="18"/>
                <w:szCs w:val="18"/>
              </w:rPr>
            </w:pPr>
            <w:r>
              <w:rPr>
                <w:sz w:val="18"/>
                <w:szCs w:val="18"/>
              </w:rPr>
              <w:t>Midstream and downstream incentives for models meeting ENERGY STAR specifications or percentages above ENERGY STAR specifications,</w:t>
            </w:r>
            <w:r w:rsidR="00CB627B">
              <w:rPr>
                <w:sz w:val="18"/>
                <w:szCs w:val="18"/>
              </w:rPr>
              <w:t xml:space="preserve"> or</w:t>
            </w:r>
            <w:r>
              <w:rPr>
                <w:sz w:val="18"/>
                <w:szCs w:val="18"/>
              </w:rPr>
              <w:t xml:space="preserve"> recognized by ENERGY Most Efficient</w:t>
            </w:r>
            <w:r w:rsidR="00B81146">
              <w:rPr>
                <w:sz w:val="18"/>
                <w:szCs w:val="18"/>
              </w:rPr>
              <w:t>*</w:t>
            </w:r>
          </w:p>
        </w:tc>
      </w:tr>
      <w:tr w:rsidR="005D30DB" w:rsidRPr="001B05A5" w14:paraId="6082B9B7" w14:textId="77777777" w:rsidTr="005D30DB">
        <w:trPr>
          <w:cantSplit/>
          <w:jc w:val="center"/>
        </w:trPr>
        <w:tc>
          <w:tcPr>
            <w:tcW w:w="1782" w:type="dxa"/>
            <w:vMerge/>
            <w:vAlign w:val="center"/>
          </w:tcPr>
          <w:p w14:paraId="26148779" w14:textId="77777777" w:rsidR="005D30DB" w:rsidRDefault="005D30DB" w:rsidP="008C7ED3">
            <w:pPr>
              <w:spacing w:after="0"/>
              <w:jc w:val="left"/>
              <w:rPr>
                <w:sz w:val="18"/>
                <w:szCs w:val="18"/>
              </w:rPr>
            </w:pPr>
          </w:p>
        </w:tc>
        <w:tc>
          <w:tcPr>
            <w:tcW w:w="2340" w:type="dxa"/>
            <w:vMerge/>
            <w:vAlign w:val="center"/>
          </w:tcPr>
          <w:p w14:paraId="7C9DED51" w14:textId="77777777" w:rsidR="005D30DB" w:rsidRPr="00462B98" w:rsidRDefault="005D30DB" w:rsidP="005D30DB">
            <w:pPr>
              <w:spacing w:after="0"/>
              <w:jc w:val="left"/>
              <w:rPr>
                <w:sz w:val="18"/>
                <w:szCs w:val="18"/>
              </w:rPr>
            </w:pPr>
          </w:p>
        </w:tc>
        <w:tc>
          <w:tcPr>
            <w:tcW w:w="1800" w:type="dxa"/>
            <w:vAlign w:val="center"/>
          </w:tcPr>
          <w:p w14:paraId="51A63DC0" w14:textId="77777777" w:rsidR="005D30DB" w:rsidRDefault="005D30DB" w:rsidP="0018534C">
            <w:pPr>
              <w:spacing w:after="0"/>
              <w:jc w:val="left"/>
              <w:rPr>
                <w:sz w:val="18"/>
                <w:szCs w:val="18"/>
              </w:rPr>
            </w:pPr>
            <w:r>
              <w:rPr>
                <w:sz w:val="18"/>
                <w:szCs w:val="18"/>
              </w:rPr>
              <w:t>70</w:t>
            </w:r>
            <w:r w:rsidR="0018534C">
              <w:rPr>
                <w:sz w:val="18"/>
                <w:szCs w:val="18"/>
              </w:rPr>
              <w:t xml:space="preserve"> </w:t>
            </w:r>
            <w:r>
              <w:rPr>
                <w:sz w:val="18"/>
                <w:szCs w:val="18"/>
              </w:rPr>
              <w:t xml:space="preserve">kWh/year or more than 38% savings in average UEC of </w:t>
            </w:r>
            <w:r w:rsidRPr="00C9653E">
              <w:rPr>
                <w:i/>
                <w:sz w:val="18"/>
                <w:szCs w:val="18"/>
              </w:rPr>
              <w:t>new</w:t>
            </w:r>
            <w:r>
              <w:rPr>
                <w:sz w:val="18"/>
                <w:szCs w:val="18"/>
              </w:rPr>
              <w:t xml:space="preserve"> units (if purchasing ENERGY STAR Most Efficient)</w:t>
            </w:r>
          </w:p>
        </w:tc>
        <w:tc>
          <w:tcPr>
            <w:tcW w:w="4673" w:type="dxa"/>
            <w:vAlign w:val="center"/>
          </w:tcPr>
          <w:p w14:paraId="719BDC5E" w14:textId="77777777" w:rsidR="005D30DB" w:rsidRDefault="005D30DB" w:rsidP="00C351B9">
            <w:pPr>
              <w:spacing w:after="0"/>
              <w:jc w:val="left"/>
              <w:rPr>
                <w:sz w:val="18"/>
                <w:szCs w:val="18"/>
              </w:rPr>
            </w:pPr>
            <w:r>
              <w:rPr>
                <w:sz w:val="18"/>
                <w:szCs w:val="18"/>
              </w:rPr>
              <w:t>For example, NEEP reported that ENERGY STAR Most Efficient 60” TV average UEC is 113</w:t>
            </w:r>
            <w:r w:rsidR="0018534C">
              <w:rPr>
                <w:sz w:val="18"/>
                <w:szCs w:val="18"/>
              </w:rPr>
              <w:t xml:space="preserve"> </w:t>
            </w:r>
            <w:r>
              <w:rPr>
                <w:sz w:val="18"/>
                <w:szCs w:val="18"/>
              </w:rPr>
              <w:t>kWh/year. They compare this to “baseline” TVs of the same size which consume 183</w:t>
            </w:r>
            <w:r w:rsidR="0018534C">
              <w:rPr>
                <w:sz w:val="18"/>
                <w:szCs w:val="18"/>
              </w:rPr>
              <w:t xml:space="preserve"> </w:t>
            </w:r>
            <w:r>
              <w:rPr>
                <w:sz w:val="18"/>
                <w:szCs w:val="18"/>
              </w:rPr>
              <w:t>kWh/year, offering savings of 70</w:t>
            </w:r>
            <w:r w:rsidR="0018534C">
              <w:rPr>
                <w:sz w:val="18"/>
                <w:szCs w:val="18"/>
              </w:rPr>
              <w:t xml:space="preserve"> </w:t>
            </w:r>
            <w:r>
              <w:rPr>
                <w:sz w:val="18"/>
                <w:szCs w:val="18"/>
              </w:rPr>
              <w:t>kWh/year.</w:t>
            </w:r>
          </w:p>
        </w:tc>
        <w:tc>
          <w:tcPr>
            <w:tcW w:w="2329" w:type="dxa"/>
            <w:vMerge/>
            <w:tcBorders>
              <w:left w:val="single" w:sz="12" w:space="0" w:color="auto"/>
            </w:tcBorders>
            <w:vAlign w:val="center"/>
          </w:tcPr>
          <w:p w14:paraId="0361F864" w14:textId="77777777" w:rsidR="005D30DB" w:rsidRDefault="005D30DB" w:rsidP="008C7ED3">
            <w:pPr>
              <w:spacing w:after="0"/>
              <w:jc w:val="left"/>
              <w:rPr>
                <w:sz w:val="18"/>
                <w:szCs w:val="18"/>
              </w:rPr>
            </w:pPr>
          </w:p>
        </w:tc>
      </w:tr>
      <w:tr w:rsidR="004427B0" w:rsidRPr="001B05A5" w14:paraId="007CBB3F" w14:textId="77777777" w:rsidTr="00EB6ADB">
        <w:trPr>
          <w:cantSplit/>
          <w:jc w:val="center"/>
        </w:trPr>
        <w:tc>
          <w:tcPr>
            <w:tcW w:w="1782" w:type="dxa"/>
            <w:tcBorders>
              <w:bottom w:val="single" w:sz="4" w:space="0" w:color="auto"/>
            </w:tcBorders>
            <w:vAlign w:val="center"/>
          </w:tcPr>
          <w:p w14:paraId="11B5EAD5" w14:textId="68445B20" w:rsidR="004427B0" w:rsidRDefault="004427B0" w:rsidP="00836252">
            <w:pPr>
              <w:spacing w:after="0"/>
              <w:jc w:val="left"/>
              <w:rPr>
                <w:sz w:val="18"/>
                <w:szCs w:val="18"/>
              </w:rPr>
            </w:pPr>
            <w:r>
              <w:rPr>
                <w:sz w:val="18"/>
                <w:szCs w:val="18"/>
              </w:rPr>
              <w:t xml:space="preserve">2) </w:t>
            </w:r>
            <w:r w:rsidRPr="002360CC">
              <w:rPr>
                <w:sz w:val="18"/>
                <w:szCs w:val="18"/>
              </w:rPr>
              <w:t>Early Retirement</w:t>
            </w:r>
          </w:p>
        </w:tc>
        <w:tc>
          <w:tcPr>
            <w:tcW w:w="2340" w:type="dxa"/>
            <w:tcBorders>
              <w:bottom w:val="single" w:sz="4" w:space="0" w:color="auto"/>
            </w:tcBorders>
            <w:vAlign w:val="center"/>
          </w:tcPr>
          <w:p w14:paraId="0AFEB071" w14:textId="1D116D81" w:rsidR="004427B0" w:rsidRPr="00462B98" w:rsidRDefault="004427B0" w:rsidP="005D30DB">
            <w:pPr>
              <w:spacing w:after="0"/>
              <w:jc w:val="left"/>
              <w:rPr>
                <w:sz w:val="18"/>
                <w:szCs w:val="18"/>
              </w:rPr>
            </w:pPr>
            <w:r w:rsidRPr="00462B98">
              <w:rPr>
                <w:sz w:val="18"/>
                <w:szCs w:val="18"/>
              </w:rPr>
              <w:t>Overhaul existing TV fleets to replace older</w:t>
            </w:r>
            <w:r>
              <w:rPr>
                <w:sz w:val="18"/>
                <w:szCs w:val="18"/>
              </w:rPr>
              <w:t>,</w:t>
            </w:r>
            <w:r w:rsidRPr="00462B98">
              <w:rPr>
                <w:sz w:val="18"/>
                <w:szCs w:val="18"/>
              </w:rPr>
              <w:t xml:space="preserve"> less efficient models with new best</w:t>
            </w:r>
            <w:r>
              <w:rPr>
                <w:sz w:val="18"/>
                <w:szCs w:val="18"/>
              </w:rPr>
              <w:t>-</w:t>
            </w:r>
            <w:r w:rsidRPr="00462B98">
              <w:rPr>
                <w:sz w:val="18"/>
                <w:szCs w:val="18"/>
              </w:rPr>
              <w:t>in</w:t>
            </w:r>
            <w:r>
              <w:rPr>
                <w:sz w:val="18"/>
                <w:szCs w:val="18"/>
              </w:rPr>
              <w:t>-</w:t>
            </w:r>
            <w:r w:rsidRPr="00462B98">
              <w:rPr>
                <w:sz w:val="18"/>
                <w:szCs w:val="18"/>
              </w:rPr>
              <w:t xml:space="preserve">class high efficiency models. </w:t>
            </w:r>
          </w:p>
        </w:tc>
        <w:tc>
          <w:tcPr>
            <w:tcW w:w="1800" w:type="dxa"/>
            <w:tcBorders>
              <w:bottom w:val="single" w:sz="4" w:space="0" w:color="auto"/>
            </w:tcBorders>
            <w:vAlign w:val="center"/>
          </w:tcPr>
          <w:p w14:paraId="67C3A854" w14:textId="49DA1FA7" w:rsidR="004427B0" w:rsidRDefault="004427B0" w:rsidP="00AF2AF8">
            <w:pPr>
              <w:spacing w:after="0"/>
              <w:jc w:val="left"/>
              <w:rPr>
                <w:sz w:val="18"/>
                <w:szCs w:val="18"/>
              </w:rPr>
            </w:pPr>
            <w:r>
              <w:rPr>
                <w:sz w:val="18"/>
                <w:szCs w:val="18"/>
              </w:rPr>
              <w:t xml:space="preserve">35 </w:t>
            </w:r>
            <w:r w:rsidRPr="00F5443F">
              <w:rPr>
                <w:sz w:val="18"/>
                <w:szCs w:val="18"/>
              </w:rPr>
              <w:t>kWh</w:t>
            </w:r>
            <w:r>
              <w:rPr>
                <w:sz w:val="18"/>
                <w:szCs w:val="18"/>
              </w:rPr>
              <w:t>/year</w:t>
            </w:r>
            <w:r w:rsidRPr="00F5443F">
              <w:rPr>
                <w:sz w:val="18"/>
                <w:szCs w:val="18"/>
              </w:rPr>
              <w:t xml:space="preserve"> or </w:t>
            </w:r>
            <w:r>
              <w:rPr>
                <w:sz w:val="18"/>
                <w:szCs w:val="18"/>
              </w:rPr>
              <w:t>31</w:t>
            </w:r>
            <w:r w:rsidRPr="00F5443F">
              <w:rPr>
                <w:sz w:val="18"/>
                <w:szCs w:val="18"/>
              </w:rPr>
              <w:t xml:space="preserve">% savings in average UEC of </w:t>
            </w:r>
            <w:r>
              <w:rPr>
                <w:i/>
                <w:sz w:val="18"/>
                <w:szCs w:val="18"/>
              </w:rPr>
              <w:t>replaced</w:t>
            </w:r>
            <w:r>
              <w:rPr>
                <w:sz w:val="18"/>
                <w:szCs w:val="18"/>
              </w:rPr>
              <w:t xml:space="preserve"> units</w:t>
            </w:r>
          </w:p>
        </w:tc>
        <w:tc>
          <w:tcPr>
            <w:tcW w:w="4673" w:type="dxa"/>
            <w:tcBorders>
              <w:bottom w:val="single" w:sz="4" w:space="0" w:color="auto"/>
            </w:tcBorders>
            <w:vAlign w:val="center"/>
          </w:tcPr>
          <w:p w14:paraId="3DC8ED9A" w14:textId="3B39FB91" w:rsidR="004427B0" w:rsidRDefault="004427B0" w:rsidP="005D7DF4">
            <w:pPr>
              <w:spacing w:after="0"/>
              <w:jc w:val="left"/>
              <w:rPr>
                <w:sz w:val="18"/>
                <w:szCs w:val="18"/>
              </w:rPr>
            </w:pPr>
            <w:r>
              <w:rPr>
                <w:sz w:val="18"/>
                <w:szCs w:val="18"/>
              </w:rPr>
              <w:t xml:space="preserve">-NEEA estimated that </w:t>
            </w:r>
            <w:r w:rsidRPr="00836252">
              <w:rPr>
                <w:sz w:val="18"/>
                <w:szCs w:val="18"/>
              </w:rPr>
              <w:t>TV</w:t>
            </w:r>
            <w:r>
              <w:rPr>
                <w:sz w:val="18"/>
                <w:szCs w:val="18"/>
              </w:rPr>
              <w:t xml:space="preserve">s larger than </w:t>
            </w:r>
            <w:r w:rsidRPr="00836252">
              <w:rPr>
                <w:sz w:val="18"/>
                <w:szCs w:val="18"/>
              </w:rPr>
              <w:t>32</w:t>
            </w:r>
            <w:r>
              <w:rPr>
                <w:sz w:val="18"/>
                <w:szCs w:val="18"/>
              </w:rPr>
              <w:t>” manufactured before 2006 (prior to the passing of Connecticut’s 2011 TV efficiency standard) and used for 3 hr/day consume 113 kWh/year. They suggested replacing those units with best-in-class TVs</w:t>
            </w:r>
            <w:r w:rsidR="007F0E14">
              <w:rPr>
                <w:sz w:val="18"/>
                <w:szCs w:val="18"/>
              </w:rPr>
              <w:t xml:space="preserve"> and</w:t>
            </w:r>
            <w:r>
              <w:rPr>
                <w:sz w:val="18"/>
                <w:szCs w:val="18"/>
              </w:rPr>
              <w:t xml:space="preserve"> assumed that new TVs are used 5 hr/day.</w:t>
            </w:r>
          </w:p>
          <w:p w14:paraId="604FF51A" w14:textId="77777777" w:rsidR="004427B0" w:rsidRDefault="004427B0" w:rsidP="005D7DF4">
            <w:pPr>
              <w:spacing w:after="0"/>
              <w:jc w:val="left"/>
              <w:rPr>
                <w:sz w:val="18"/>
                <w:szCs w:val="18"/>
              </w:rPr>
            </w:pPr>
          </w:p>
          <w:p w14:paraId="581D9114" w14:textId="3719C3C0" w:rsidR="004427B0" w:rsidRDefault="004427B0" w:rsidP="00444D66">
            <w:pPr>
              <w:spacing w:after="0"/>
              <w:jc w:val="left"/>
              <w:rPr>
                <w:sz w:val="18"/>
                <w:szCs w:val="18"/>
              </w:rPr>
            </w:pPr>
            <w:r>
              <w:rPr>
                <w:sz w:val="18"/>
                <w:szCs w:val="18"/>
              </w:rPr>
              <w:t xml:space="preserve">-Fraunhofer reported that the weighted average TV size was 34”, so NMR researched the energy consumption of best-in-class models around this size. </w:t>
            </w:r>
            <w:r w:rsidR="00CB627B">
              <w:rPr>
                <w:sz w:val="18"/>
                <w:szCs w:val="18"/>
              </w:rPr>
              <w:t>NEEP reported that ENERGY STAR Most Efficient 42” TV average UEC is 78 kWh/year</w:t>
            </w:r>
            <w:r>
              <w:rPr>
                <w:sz w:val="18"/>
                <w:szCs w:val="18"/>
              </w:rPr>
              <w:t>.*</w:t>
            </w:r>
            <w:r w:rsidR="00B81146">
              <w:rPr>
                <w:sz w:val="18"/>
                <w:szCs w:val="18"/>
              </w:rPr>
              <w:t>*</w:t>
            </w:r>
          </w:p>
        </w:tc>
        <w:tc>
          <w:tcPr>
            <w:tcW w:w="2329" w:type="dxa"/>
            <w:tcBorders>
              <w:left w:val="single" w:sz="12" w:space="0" w:color="auto"/>
              <w:bottom w:val="single" w:sz="4" w:space="0" w:color="auto"/>
            </w:tcBorders>
            <w:vAlign w:val="center"/>
          </w:tcPr>
          <w:p w14:paraId="0153A20F" w14:textId="0511006F" w:rsidR="004427B0" w:rsidRDefault="004427B0" w:rsidP="00B81146">
            <w:pPr>
              <w:spacing w:after="0"/>
              <w:jc w:val="left"/>
              <w:rPr>
                <w:sz w:val="18"/>
                <w:szCs w:val="18"/>
              </w:rPr>
            </w:pPr>
            <w:r>
              <w:rPr>
                <w:sz w:val="18"/>
                <w:szCs w:val="18"/>
              </w:rPr>
              <w:t xml:space="preserve">TV recycling incentive </w:t>
            </w:r>
            <w:r w:rsidRPr="00A609ED">
              <w:rPr>
                <w:sz w:val="18"/>
                <w:szCs w:val="18"/>
              </w:rPr>
              <w:t>program in combination with midstream and downstream incentives for models</w:t>
            </w:r>
            <w:r>
              <w:rPr>
                <w:sz w:val="18"/>
                <w:szCs w:val="18"/>
              </w:rPr>
              <w:t xml:space="preserve"> included in ENERGY STAR Most Efficient list</w:t>
            </w:r>
          </w:p>
        </w:tc>
      </w:tr>
      <w:tr w:rsidR="004427B0" w:rsidRPr="001B05A5" w14:paraId="6DB8CE53" w14:textId="77777777" w:rsidTr="00EB6ADB">
        <w:trPr>
          <w:cantSplit/>
          <w:jc w:val="center"/>
        </w:trPr>
        <w:tc>
          <w:tcPr>
            <w:tcW w:w="1782" w:type="dxa"/>
            <w:tcBorders>
              <w:bottom w:val="single" w:sz="4" w:space="0" w:color="auto"/>
            </w:tcBorders>
            <w:vAlign w:val="center"/>
          </w:tcPr>
          <w:p w14:paraId="121B93D3" w14:textId="77777777" w:rsidR="004427B0" w:rsidRPr="002360CC" w:rsidRDefault="004427B0" w:rsidP="00836252">
            <w:pPr>
              <w:spacing w:after="0"/>
              <w:jc w:val="left"/>
              <w:rPr>
                <w:sz w:val="18"/>
                <w:szCs w:val="18"/>
              </w:rPr>
            </w:pPr>
            <w:r>
              <w:rPr>
                <w:sz w:val="18"/>
                <w:szCs w:val="18"/>
              </w:rPr>
              <w:t xml:space="preserve">3) </w:t>
            </w:r>
            <w:r w:rsidRPr="002360CC">
              <w:rPr>
                <w:sz w:val="18"/>
                <w:szCs w:val="18"/>
              </w:rPr>
              <w:t>Brightness</w:t>
            </w:r>
            <w:r>
              <w:rPr>
                <w:sz w:val="18"/>
                <w:szCs w:val="18"/>
              </w:rPr>
              <w:t xml:space="preserve"> Optimizing</w:t>
            </w:r>
          </w:p>
        </w:tc>
        <w:tc>
          <w:tcPr>
            <w:tcW w:w="2340" w:type="dxa"/>
            <w:tcBorders>
              <w:bottom w:val="single" w:sz="4" w:space="0" w:color="auto"/>
            </w:tcBorders>
            <w:vAlign w:val="center"/>
          </w:tcPr>
          <w:p w14:paraId="4702C02C" w14:textId="77777777" w:rsidR="004427B0" w:rsidRPr="00462B98" w:rsidRDefault="004427B0" w:rsidP="005D30DB">
            <w:pPr>
              <w:spacing w:after="0"/>
              <w:jc w:val="left"/>
              <w:rPr>
                <w:sz w:val="18"/>
                <w:szCs w:val="18"/>
              </w:rPr>
            </w:pPr>
            <w:r w:rsidRPr="00462B98">
              <w:rPr>
                <w:sz w:val="18"/>
                <w:szCs w:val="18"/>
              </w:rPr>
              <w:t>Manually optimize the brightness settings on installed TVs so they are only as bright as they need to be and will</w:t>
            </w:r>
            <w:r>
              <w:rPr>
                <w:sz w:val="18"/>
                <w:szCs w:val="18"/>
              </w:rPr>
              <w:t>,</w:t>
            </w:r>
            <w:r w:rsidRPr="00462B98">
              <w:rPr>
                <w:sz w:val="18"/>
                <w:szCs w:val="18"/>
              </w:rPr>
              <w:t xml:space="preserve"> in effect</w:t>
            </w:r>
            <w:r>
              <w:rPr>
                <w:sz w:val="18"/>
                <w:szCs w:val="18"/>
              </w:rPr>
              <w:t>,</w:t>
            </w:r>
            <w:r w:rsidRPr="00462B98">
              <w:rPr>
                <w:sz w:val="18"/>
                <w:szCs w:val="18"/>
              </w:rPr>
              <w:t xml:space="preserve"> use less energy.</w:t>
            </w:r>
          </w:p>
        </w:tc>
        <w:tc>
          <w:tcPr>
            <w:tcW w:w="1800" w:type="dxa"/>
            <w:tcBorders>
              <w:bottom w:val="single" w:sz="4" w:space="0" w:color="auto"/>
            </w:tcBorders>
            <w:vAlign w:val="center"/>
          </w:tcPr>
          <w:p w14:paraId="4F932C81" w14:textId="77777777" w:rsidR="004427B0" w:rsidRPr="001B05A5" w:rsidRDefault="004427B0" w:rsidP="00AF2AF8">
            <w:pPr>
              <w:spacing w:after="0"/>
              <w:jc w:val="left"/>
              <w:rPr>
                <w:sz w:val="18"/>
                <w:szCs w:val="18"/>
              </w:rPr>
            </w:pPr>
            <w:r>
              <w:rPr>
                <w:sz w:val="18"/>
                <w:szCs w:val="18"/>
              </w:rPr>
              <w:t xml:space="preserve">35 </w:t>
            </w:r>
            <w:r w:rsidRPr="00F5443F">
              <w:rPr>
                <w:sz w:val="18"/>
                <w:szCs w:val="18"/>
              </w:rPr>
              <w:t>kWh</w:t>
            </w:r>
            <w:r>
              <w:rPr>
                <w:sz w:val="18"/>
                <w:szCs w:val="18"/>
              </w:rPr>
              <w:t>/year</w:t>
            </w:r>
            <w:r w:rsidRPr="00F5443F">
              <w:rPr>
                <w:sz w:val="18"/>
                <w:szCs w:val="18"/>
              </w:rPr>
              <w:t xml:space="preserve"> or </w:t>
            </w:r>
            <w:r>
              <w:rPr>
                <w:sz w:val="18"/>
                <w:szCs w:val="18"/>
              </w:rPr>
              <w:t>14</w:t>
            </w:r>
            <w:r w:rsidRPr="00F5443F">
              <w:rPr>
                <w:sz w:val="18"/>
                <w:szCs w:val="18"/>
              </w:rPr>
              <w:t xml:space="preserve">% savings in average UEC of </w:t>
            </w:r>
            <w:r w:rsidRPr="00F5443F">
              <w:rPr>
                <w:i/>
                <w:sz w:val="18"/>
                <w:szCs w:val="18"/>
              </w:rPr>
              <w:t>installed</w:t>
            </w:r>
            <w:r w:rsidRPr="00F5443F">
              <w:rPr>
                <w:sz w:val="18"/>
                <w:szCs w:val="18"/>
              </w:rPr>
              <w:t xml:space="preserve"> units</w:t>
            </w:r>
          </w:p>
        </w:tc>
        <w:tc>
          <w:tcPr>
            <w:tcW w:w="4673" w:type="dxa"/>
            <w:tcBorders>
              <w:bottom w:val="single" w:sz="4" w:space="0" w:color="auto"/>
            </w:tcBorders>
            <w:vAlign w:val="center"/>
          </w:tcPr>
          <w:p w14:paraId="5C1F2681" w14:textId="404F7F70" w:rsidR="004427B0" w:rsidRPr="002360CC" w:rsidRDefault="004427B0" w:rsidP="00B81146">
            <w:pPr>
              <w:spacing w:after="0"/>
              <w:jc w:val="left"/>
              <w:rPr>
                <w:sz w:val="18"/>
                <w:szCs w:val="18"/>
              </w:rPr>
            </w:pPr>
            <w:r>
              <w:rPr>
                <w:sz w:val="18"/>
                <w:szCs w:val="18"/>
              </w:rPr>
              <w:t>NEEA estimated that the average installed base UEC is 256 kWh/year and that optimizing brightness in the installed base would save 35 kWh/year.</w:t>
            </w:r>
            <w:r w:rsidR="00B81146" w:rsidRPr="00257E05">
              <w:rPr>
                <w:rFonts w:cs="Times New Roman"/>
                <w:sz w:val="18"/>
                <w:szCs w:val="18"/>
                <w:vertAlign w:val="superscript"/>
              </w:rPr>
              <w:t xml:space="preserve"> †</w:t>
            </w:r>
          </w:p>
        </w:tc>
        <w:tc>
          <w:tcPr>
            <w:tcW w:w="2329" w:type="dxa"/>
            <w:tcBorders>
              <w:left w:val="single" w:sz="12" w:space="0" w:color="auto"/>
              <w:bottom w:val="single" w:sz="4" w:space="0" w:color="auto"/>
            </w:tcBorders>
            <w:vAlign w:val="center"/>
          </w:tcPr>
          <w:p w14:paraId="3215144E" w14:textId="77777777" w:rsidR="004427B0" w:rsidRPr="001B05A5" w:rsidRDefault="004427B0" w:rsidP="00597F37">
            <w:pPr>
              <w:spacing w:after="0"/>
              <w:jc w:val="left"/>
              <w:rPr>
                <w:sz w:val="18"/>
                <w:szCs w:val="18"/>
              </w:rPr>
            </w:pPr>
            <w:r>
              <w:rPr>
                <w:sz w:val="18"/>
                <w:szCs w:val="18"/>
              </w:rPr>
              <w:t>Consumer education campaigns to adjust settings; direct installation of adjusted settings</w:t>
            </w:r>
          </w:p>
        </w:tc>
      </w:tr>
      <w:tr w:rsidR="004427B0" w:rsidRPr="001B05A5" w14:paraId="567DEE9A" w14:textId="77777777" w:rsidTr="00EB6ADB">
        <w:trPr>
          <w:cantSplit/>
          <w:jc w:val="center"/>
        </w:trPr>
        <w:tc>
          <w:tcPr>
            <w:tcW w:w="1782" w:type="dxa"/>
            <w:tcBorders>
              <w:top w:val="single" w:sz="4" w:space="0" w:color="auto"/>
              <w:bottom w:val="single" w:sz="4" w:space="0" w:color="auto"/>
            </w:tcBorders>
            <w:shd w:val="clear" w:color="auto" w:fill="auto"/>
            <w:vAlign w:val="center"/>
          </w:tcPr>
          <w:p w14:paraId="65D025C2" w14:textId="77777777" w:rsidR="004427B0" w:rsidRPr="002360CC" w:rsidRDefault="004427B0" w:rsidP="008C7ED3">
            <w:pPr>
              <w:spacing w:after="0"/>
              <w:jc w:val="left"/>
              <w:rPr>
                <w:sz w:val="18"/>
                <w:szCs w:val="18"/>
              </w:rPr>
            </w:pPr>
            <w:r>
              <w:rPr>
                <w:sz w:val="18"/>
                <w:szCs w:val="18"/>
              </w:rPr>
              <w:t xml:space="preserve">4) </w:t>
            </w:r>
            <w:r w:rsidRPr="00D77C0D">
              <w:rPr>
                <w:sz w:val="18"/>
                <w:szCs w:val="18"/>
              </w:rPr>
              <w:t>Automatic Brightness Control (ABC) Capability</w:t>
            </w:r>
          </w:p>
        </w:tc>
        <w:tc>
          <w:tcPr>
            <w:tcW w:w="2340" w:type="dxa"/>
            <w:tcBorders>
              <w:top w:val="single" w:sz="4" w:space="0" w:color="auto"/>
              <w:bottom w:val="single" w:sz="4" w:space="0" w:color="auto"/>
            </w:tcBorders>
            <w:shd w:val="clear" w:color="auto" w:fill="auto"/>
            <w:vAlign w:val="center"/>
          </w:tcPr>
          <w:p w14:paraId="7D457AFC" w14:textId="77777777" w:rsidR="004427B0" w:rsidRPr="001B05A5" w:rsidRDefault="004427B0" w:rsidP="00E20506">
            <w:pPr>
              <w:spacing w:after="0"/>
              <w:jc w:val="left"/>
              <w:rPr>
                <w:sz w:val="18"/>
                <w:szCs w:val="18"/>
              </w:rPr>
            </w:pPr>
            <w:r>
              <w:rPr>
                <w:sz w:val="18"/>
                <w:szCs w:val="18"/>
              </w:rPr>
              <w:t xml:space="preserve">Increase penetration of TVs with an </w:t>
            </w:r>
            <w:r w:rsidRPr="002360CC">
              <w:rPr>
                <w:sz w:val="18"/>
                <w:szCs w:val="18"/>
              </w:rPr>
              <w:t>ABC</w:t>
            </w:r>
            <w:r>
              <w:rPr>
                <w:sz w:val="18"/>
                <w:szCs w:val="18"/>
              </w:rPr>
              <w:t xml:space="preserve"> feature</w:t>
            </w:r>
            <w:r w:rsidRPr="002360CC">
              <w:rPr>
                <w:sz w:val="18"/>
                <w:szCs w:val="18"/>
              </w:rPr>
              <w:t xml:space="preserve"> that </w:t>
            </w:r>
            <w:r>
              <w:rPr>
                <w:sz w:val="18"/>
                <w:szCs w:val="18"/>
              </w:rPr>
              <w:t>adjusts the brightness of the screen based on the brightness of the room to decrease consumption.</w:t>
            </w:r>
          </w:p>
        </w:tc>
        <w:tc>
          <w:tcPr>
            <w:tcW w:w="1800" w:type="dxa"/>
            <w:tcBorders>
              <w:top w:val="single" w:sz="4" w:space="0" w:color="auto"/>
              <w:bottom w:val="single" w:sz="4" w:space="0" w:color="auto"/>
            </w:tcBorders>
            <w:shd w:val="clear" w:color="auto" w:fill="auto"/>
            <w:vAlign w:val="center"/>
          </w:tcPr>
          <w:p w14:paraId="6D8C0AE2" w14:textId="77777777" w:rsidR="004427B0" w:rsidRPr="001B05A5" w:rsidRDefault="004427B0" w:rsidP="008C7ED3">
            <w:pPr>
              <w:spacing w:after="0"/>
              <w:jc w:val="left"/>
              <w:rPr>
                <w:sz w:val="18"/>
                <w:szCs w:val="18"/>
              </w:rPr>
            </w:pPr>
            <w:r>
              <w:rPr>
                <w:sz w:val="18"/>
                <w:szCs w:val="18"/>
              </w:rPr>
              <w:t xml:space="preserve">8 kWh/year </w:t>
            </w:r>
            <w:r w:rsidRPr="00F5443F">
              <w:rPr>
                <w:sz w:val="18"/>
                <w:szCs w:val="18"/>
              </w:rPr>
              <w:t xml:space="preserve">or </w:t>
            </w:r>
            <w:r>
              <w:rPr>
                <w:sz w:val="18"/>
                <w:szCs w:val="18"/>
              </w:rPr>
              <w:t>12</w:t>
            </w:r>
            <w:r w:rsidRPr="00F5443F">
              <w:rPr>
                <w:sz w:val="18"/>
                <w:szCs w:val="18"/>
              </w:rPr>
              <w:t xml:space="preserve">% savings in average UEC of </w:t>
            </w:r>
            <w:r w:rsidRPr="00F5443F">
              <w:rPr>
                <w:i/>
                <w:sz w:val="18"/>
                <w:szCs w:val="18"/>
              </w:rPr>
              <w:t>new</w:t>
            </w:r>
            <w:r w:rsidRPr="00F5443F">
              <w:rPr>
                <w:sz w:val="18"/>
                <w:szCs w:val="18"/>
              </w:rPr>
              <w:t xml:space="preserve"> </w:t>
            </w:r>
            <w:r w:rsidRPr="00BD0B0E">
              <w:rPr>
                <w:i/>
                <w:sz w:val="18"/>
                <w:szCs w:val="18"/>
              </w:rPr>
              <w:t xml:space="preserve">ENERGY STAR </w:t>
            </w:r>
            <w:r w:rsidRPr="00F5443F">
              <w:rPr>
                <w:sz w:val="18"/>
                <w:szCs w:val="18"/>
              </w:rPr>
              <w:t>units</w:t>
            </w:r>
            <w:r>
              <w:rPr>
                <w:sz w:val="18"/>
                <w:szCs w:val="18"/>
              </w:rPr>
              <w:t xml:space="preserve"> </w:t>
            </w:r>
            <w:r w:rsidRPr="00BE2AE0">
              <w:rPr>
                <w:i/>
                <w:sz w:val="18"/>
                <w:szCs w:val="18"/>
              </w:rPr>
              <w:t>without ABC</w:t>
            </w:r>
          </w:p>
        </w:tc>
        <w:tc>
          <w:tcPr>
            <w:tcW w:w="4673" w:type="dxa"/>
            <w:tcBorders>
              <w:top w:val="single" w:sz="4" w:space="0" w:color="auto"/>
              <w:bottom w:val="single" w:sz="4" w:space="0" w:color="auto"/>
            </w:tcBorders>
            <w:shd w:val="clear" w:color="auto" w:fill="auto"/>
            <w:vAlign w:val="center"/>
          </w:tcPr>
          <w:p w14:paraId="308A6B53" w14:textId="77777777" w:rsidR="004427B0" w:rsidRPr="008C519E" w:rsidRDefault="004427B0" w:rsidP="008C7ED3">
            <w:pPr>
              <w:spacing w:after="0"/>
              <w:jc w:val="left"/>
              <w:rPr>
                <w:sz w:val="18"/>
                <w:szCs w:val="18"/>
              </w:rPr>
            </w:pPr>
            <w:r w:rsidRPr="008C519E">
              <w:rPr>
                <w:sz w:val="18"/>
                <w:szCs w:val="18"/>
              </w:rPr>
              <w:t>NEEA estimate</w:t>
            </w:r>
            <w:r>
              <w:rPr>
                <w:sz w:val="18"/>
                <w:szCs w:val="18"/>
              </w:rPr>
              <w:t>d</w:t>
            </w:r>
            <w:r w:rsidRPr="008C519E">
              <w:rPr>
                <w:sz w:val="18"/>
                <w:szCs w:val="18"/>
              </w:rPr>
              <w:t xml:space="preserve"> that the average new </w:t>
            </w:r>
            <w:r>
              <w:rPr>
                <w:sz w:val="18"/>
                <w:szCs w:val="18"/>
              </w:rPr>
              <w:t xml:space="preserve">ENERGY STAR </w:t>
            </w:r>
            <w:r w:rsidRPr="008C519E">
              <w:rPr>
                <w:sz w:val="18"/>
                <w:szCs w:val="18"/>
              </w:rPr>
              <w:t xml:space="preserve">TV </w:t>
            </w:r>
            <w:r>
              <w:rPr>
                <w:sz w:val="18"/>
                <w:szCs w:val="18"/>
              </w:rPr>
              <w:t xml:space="preserve">that does not currently include the ABC feature </w:t>
            </w:r>
            <w:r w:rsidRPr="008C519E">
              <w:rPr>
                <w:sz w:val="18"/>
                <w:szCs w:val="18"/>
              </w:rPr>
              <w:t xml:space="preserve">uses </w:t>
            </w:r>
            <w:r>
              <w:rPr>
                <w:sz w:val="18"/>
                <w:szCs w:val="18"/>
              </w:rPr>
              <w:t xml:space="preserve">69 </w:t>
            </w:r>
            <w:r w:rsidRPr="008C519E">
              <w:rPr>
                <w:sz w:val="18"/>
                <w:szCs w:val="18"/>
              </w:rPr>
              <w:t>kWh/year</w:t>
            </w:r>
            <w:r>
              <w:rPr>
                <w:sz w:val="18"/>
                <w:szCs w:val="18"/>
              </w:rPr>
              <w:t>. They found that including ABC in ENERGY STAR models could save nearly 8 kWh/year.</w:t>
            </w:r>
          </w:p>
        </w:tc>
        <w:tc>
          <w:tcPr>
            <w:tcW w:w="2329" w:type="dxa"/>
            <w:tcBorders>
              <w:top w:val="single" w:sz="4" w:space="0" w:color="auto"/>
              <w:left w:val="single" w:sz="12" w:space="0" w:color="auto"/>
              <w:bottom w:val="single" w:sz="4" w:space="0" w:color="auto"/>
            </w:tcBorders>
            <w:shd w:val="clear" w:color="auto" w:fill="auto"/>
            <w:vAlign w:val="center"/>
          </w:tcPr>
          <w:p w14:paraId="4944264B" w14:textId="77777777" w:rsidR="004427B0" w:rsidRPr="001B05A5" w:rsidRDefault="004427B0" w:rsidP="00880C5A">
            <w:pPr>
              <w:spacing w:after="0"/>
              <w:jc w:val="left"/>
              <w:rPr>
                <w:sz w:val="18"/>
                <w:szCs w:val="18"/>
              </w:rPr>
            </w:pPr>
            <w:r>
              <w:rPr>
                <w:sz w:val="18"/>
                <w:szCs w:val="18"/>
              </w:rPr>
              <w:t>Consumer education campaigns to enable ABC; midstream and downstream incentives for the purchase/sale of ABC-enabled units</w:t>
            </w:r>
          </w:p>
        </w:tc>
      </w:tr>
      <w:tr w:rsidR="004427B0" w:rsidRPr="001B05A5" w14:paraId="03F99B17" w14:textId="77777777" w:rsidTr="00462B98">
        <w:trPr>
          <w:cantSplit/>
          <w:jc w:val="center"/>
        </w:trPr>
        <w:tc>
          <w:tcPr>
            <w:tcW w:w="1782" w:type="dxa"/>
            <w:tcBorders>
              <w:top w:val="single" w:sz="4" w:space="0" w:color="auto"/>
              <w:bottom w:val="single" w:sz="4" w:space="0" w:color="auto"/>
            </w:tcBorders>
            <w:shd w:val="pct10" w:color="auto" w:fill="auto"/>
            <w:vAlign w:val="center"/>
          </w:tcPr>
          <w:p w14:paraId="38375E3E" w14:textId="77777777" w:rsidR="004427B0" w:rsidRPr="002360CC" w:rsidRDefault="004427B0" w:rsidP="008C7ED3">
            <w:pPr>
              <w:spacing w:after="0"/>
              <w:jc w:val="left"/>
              <w:rPr>
                <w:sz w:val="18"/>
                <w:szCs w:val="18"/>
              </w:rPr>
            </w:pPr>
            <w:r>
              <w:rPr>
                <w:sz w:val="18"/>
                <w:szCs w:val="18"/>
              </w:rPr>
              <w:lastRenderedPageBreak/>
              <w:t xml:space="preserve">5) </w:t>
            </w:r>
            <w:r w:rsidRPr="002360CC">
              <w:rPr>
                <w:sz w:val="18"/>
                <w:szCs w:val="18"/>
              </w:rPr>
              <w:t>Occupancy Sensing Technology</w:t>
            </w:r>
          </w:p>
        </w:tc>
        <w:tc>
          <w:tcPr>
            <w:tcW w:w="2340" w:type="dxa"/>
            <w:tcBorders>
              <w:top w:val="single" w:sz="4" w:space="0" w:color="auto"/>
              <w:bottom w:val="single" w:sz="4" w:space="0" w:color="auto"/>
            </w:tcBorders>
            <w:shd w:val="pct10" w:color="auto" w:fill="auto"/>
            <w:vAlign w:val="center"/>
          </w:tcPr>
          <w:p w14:paraId="3F273143" w14:textId="77777777" w:rsidR="004427B0" w:rsidRPr="001B05A5" w:rsidRDefault="004427B0" w:rsidP="005D30DB">
            <w:pPr>
              <w:spacing w:after="0"/>
              <w:jc w:val="left"/>
              <w:rPr>
                <w:sz w:val="18"/>
                <w:szCs w:val="18"/>
              </w:rPr>
            </w:pPr>
            <w:r w:rsidRPr="002360CC">
              <w:rPr>
                <w:sz w:val="18"/>
                <w:szCs w:val="18"/>
              </w:rPr>
              <w:t xml:space="preserve">Include occupancy sensing technology that </w:t>
            </w:r>
            <w:r>
              <w:rPr>
                <w:sz w:val="18"/>
                <w:szCs w:val="18"/>
              </w:rPr>
              <w:t>employs Auto-Power Down (APD)</w:t>
            </w:r>
            <w:r w:rsidRPr="002360CC">
              <w:rPr>
                <w:sz w:val="18"/>
                <w:szCs w:val="18"/>
              </w:rPr>
              <w:t xml:space="preserve"> </w:t>
            </w:r>
            <w:r>
              <w:rPr>
                <w:sz w:val="18"/>
                <w:szCs w:val="18"/>
              </w:rPr>
              <w:t xml:space="preserve">to automatically turn off the unit </w:t>
            </w:r>
            <w:r w:rsidRPr="002360CC">
              <w:rPr>
                <w:sz w:val="18"/>
                <w:szCs w:val="18"/>
              </w:rPr>
              <w:t>if no one is in the room</w:t>
            </w:r>
            <w:r>
              <w:rPr>
                <w:sz w:val="18"/>
                <w:szCs w:val="18"/>
              </w:rPr>
              <w:t>.</w:t>
            </w:r>
          </w:p>
        </w:tc>
        <w:tc>
          <w:tcPr>
            <w:tcW w:w="1800" w:type="dxa"/>
            <w:tcBorders>
              <w:top w:val="single" w:sz="4" w:space="0" w:color="auto"/>
              <w:bottom w:val="single" w:sz="4" w:space="0" w:color="auto"/>
            </w:tcBorders>
            <w:shd w:val="pct10" w:color="auto" w:fill="auto"/>
            <w:vAlign w:val="center"/>
          </w:tcPr>
          <w:p w14:paraId="5D99AEC8" w14:textId="77777777" w:rsidR="004427B0" w:rsidRPr="001B05A5" w:rsidRDefault="004427B0" w:rsidP="008C7ED3">
            <w:pPr>
              <w:spacing w:after="0"/>
              <w:jc w:val="left"/>
              <w:rPr>
                <w:sz w:val="18"/>
                <w:szCs w:val="18"/>
              </w:rPr>
            </w:pPr>
            <w:r>
              <w:rPr>
                <w:sz w:val="18"/>
                <w:szCs w:val="18"/>
              </w:rPr>
              <w:t xml:space="preserve">13 </w:t>
            </w:r>
            <w:r w:rsidRPr="00F5443F">
              <w:rPr>
                <w:sz w:val="18"/>
                <w:szCs w:val="18"/>
              </w:rPr>
              <w:t>kWh</w:t>
            </w:r>
            <w:r>
              <w:rPr>
                <w:sz w:val="18"/>
                <w:szCs w:val="18"/>
              </w:rPr>
              <w:t>/year</w:t>
            </w:r>
            <w:r w:rsidRPr="00F5443F">
              <w:rPr>
                <w:sz w:val="18"/>
                <w:szCs w:val="18"/>
              </w:rPr>
              <w:t xml:space="preserve"> or </w:t>
            </w:r>
            <w:r>
              <w:rPr>
                <w:sz w:val="18"/>
                <w:szCs w:val="18"/>
              </w:rPr>
              <w:t>11</w:t>
            </w:r>
            <w:r w:rsidRPr="00F5443F">
              <w:rPr>
                <w:sz w:val="18"/>
                <w:szCs w:val="18"/>
              </w:rPr>
              <w:t xml:space="preserve">% savings in average UEC of </w:t>
            </w:r>
            <w:r w:rsidRPr="00F5443F">
              <w:rPr>
                <w:i/>
                <w:sz w:val="18"/>
                <w:szCs w:val="18"/>
              </w:rPr>
              <w:t>new</w:t>
            </w:r>
            <w:r w:rsidRPr="00F5443F">
              <w:rPr>
                <w:sz w:val="18"/>
                <w:szCs w:val="18"/>
              </w:rPr>
              <w:t xml:space="preserve"> units</w:t>
            </w:r>
          </w:p>
        </w:tc>
        <w:tc>
          <w:tcPr>
            <w:tcW w:w="4673" w:type="dxa"/>
            <w:tcBorders>
              <w:top w:val="single" w:sz="4" w:space="0" w:color="auto"/>
              <w:bottom w:val="single" w:sz="4" w:space="0" w:color="auto"/>
            </w:tcBorders>
            <w:shd w:val="pct10" w:color="auto" w:fill="auto"/>
            <w:vAlign w:val="center"/>
          </w:tcPr>
          <w:p w14:paraId="6BD30785" w14:textId="77777777" w:rsidR="004427B0" w:rsidRPr="002360CC" w:rsidRDefault="004427B0" w:rsidP="008C7ED3">
            <w:pPr>
              <w:spacing w:after="0"/>
              <w:jc w:val="left"/>
              <w:rPr>
                <w:sz w:val="18"/>
                <w:szCs w:val="18"/>
              </w:rPr>
            </w:pPr>
            <w:r>
              <w:rPr>
                <w:sz w:val="18"/>
                <w:szCs w:val="18"/>
              </w:rPr>
              <w:t>NEEA estimated that the average new TV UEC is 121 kWh/year, and offering occupancy sensing technology could save 13 kWh/year.</w:t>
            </w:r>
          </w:p>
        </w:tc>
        <w:tc>
          <w:tcPr>
            <w:tcW w:w="2329" w:type="dxa"/>
            <w:vMerge w:val="restart"/>
            <w:tcBorders>
              <w:top w:val="single" w:sz="4" w:space="0" w:color="auto"/>
              <w:left w:val="single" w:sz="12" w:space="0" w:color="auto"/>
              <w:bottom w:val="single" w:sz="4" w:space="0" w:color="auto"/>
            </w:tcBorders>
            <w:shd w:val="pct10" w:color="auto" w:fill="auto"/>
            <w:vAlign w:val="center"/>
          </w:tcPr>
          <w:p w14:paraId="19D4637E" w14:textId="77777777" w:rsidR="004427B0" w:rsidRPr="001B05A5" w:rsidRDefault="004427B0" w:rsidP="00880C5A">
            <w:pPr>
              <w:spacing w:after="0"/>
              <w:jc w:val="left"/>
              <w:rPr>
                <w:sz w:val="18"/>
                <w:szCs w:val="18"/>
              </w:rPr>
            </w:pPr>
            <w:r>
              <w:rPr>
                <w:sz w:val="18"/>
                <w:szCs w:val="18"/>
              </w:rPr>
              <w:t>Partnership with policymakers, specification and standard setting entities, and manufacturers (non-incentive based)</w:t>
            </w:r>
          </w:p>
        </w:tc>
      </w:tr>
      <w:tr w:rsidR="004427B0" w:rsidRPr="001B05A5" w14:paraId="60725914" w14:textId="77777777" w:rsidTr="00462B98">
        <w:trPr>
          <w:cantSplit/>
          <w:jc w:val="center"/>
        </w:trPr>
        <w:tc>
          <w:tcPr>
            <w:tcW w:w="1782" w:type="dxa"/>
            <w:tcBorders>
              <w:top w:val="single" w:sz="4" w:space="0" w:color="auto"/>
              <w:bottom w:val="single" w:sz="12" w:space="0" w:color="auto"/>
            </w:tcBorders>
            <w:shd w:val="pct10" w:color="auto" w:fill="auto"/>
            <w:vAlign w:val="center"/>
          </w:tcPr>
          <w:p w14:paraId="19BF6B51" w14:textId="77777777" w:rsidR="004427B0" w:rsidRPr="002360CC" w:rsidRDefault="004427B0" w:rsidP="00836252">
            <w:pPr>
              <w:spacing w:after="0"/>
              <w:jc w:val="left"/>
              <w:rPr>
                <w:sz w:val="18"/>
                <w:szCs w:val="18"/>
              </w:rPr>
            </w:pPr>
            <w:r>
              <w:rPr>
                <w:sz w:val="18"/>
                <w:szCs w:val="18"/>
              </w:rPr>
              <w:t xml:space="preserve">6) </w:t>
            </w:r>
            <w:r w:rsidRPr="002360CC">
              <w:rPr>
                <w:sz w:val="18"/>
                <w:szCs w:val="18"/>
              </w:rPr>
              <w:t>Efficiency Tips</w:t>
            </w:r>
          </w:p>
        </w:tc>
        <w:tc>
          <w:tcPr>
            <w:tcW w:w="2340" w:type="dxa"/>
            <w:tcBorders>
              <w:top w:val="single" w:sz="4" w:space="0" w:color="auto"/>
              <w:bottom w:val="single" w:sz="12" w:space="0" w:color="auto"/>
            </w:tcBorders>
            <w:shd w:val="pct10" w:color="auto" w:fill="auto"/>
            <w:vAlign w:val="center"/>
          </w:tcPr>
          <w:p w14:paraId="5F84D179" w14:textId="77777777" w:rsidR="004427B0" w:rsidRPr="001B05A5" w:rsidRDefault="004427B0" w:rsidP="005D30DB">
            <w:pPr>
              <w:spacing w:after="0"/>
              <w:jc w:val="left"/>
              <w:rPr>
                <w:sz w:val="18"/>
                <w:szCs w:val="18"/>
              </w:rPr>
            </w:pPr>
            <w:r>
              <w:rPr>
                <w:sz w:val="18"/>
                <w:szCs w:val="18"/>
              </w:rPr>
              <w:t>Add efficiency</w:t>
            </w:r>
            <w:r w:rsidRPr="002360CC">
              <w:rPr>
                <w:sz w:val="18"/>
                <w:szCs w:val="18"/>
              </w:rPr>
              <w:t xml:space="preserve"> tips to TV settings menus</w:t>
            </w:r>
            <w:r>
              <w:rPr>
                <w:sz w:val="18"/>
                <w:szCs w:val="18"/>
              </w:rPr>
              <w:t>.</w:t>
            </w:r>
          </w:p>
        </w:tc>
        <w:tc>
          <w:tcPr>
            <w:tcW w:w="1800" w:type="dxa"/>
            <w:tcBorders>
              <w:top w:val="single" w:sz="4" w:space="0" w:color="auto"/>
              <w:bottom w:val="single" w:sz="12" w:space="0" w:color="auto"/>
            </w:tcBorders>
            <w:shd w:val="pct10" w:color="auto" w:fill="auto"/>
            <w:vAlign w:val="center"/>
          </w:tcPr>
          <w:p w14:paraId="05650100" w14:textId="77777777" w:rsidR="004427B0" w:rsidRPr="001B05A5" w:rsidRDefault="004427B0" w:rsidP="00AF2AF8">
            <w:pPr>
              <w:spacing w:after="0"/>
              <w:jc w:val="left"/>
              <w:rPr>
                <w:sz w:val="18"/>
                <w:szCs w:val="18"/>
              </w:rPr>
            </w:pPr>
            <w:r>
              <w:rPr>
                <w:sz w:val="18"/>
                <w:szCs w:val="18"/>
              </w:rPr>
              <w:t xml:space="preserve">12 </w:t>
            </w:r>
            <w:r w:rsidRPr="00F5443F">
              <w:rPr>
                <w:sz w:val="18"/>
                <w:szCs w:val="18"/>
              </w:rPr>
              <w:t>kWh</w:t>
            </w:r>
            <w:r>
              <w:rPr>
                <w:sz w:val="18"/>
                <w:szCs w:val="18"/>
              </w:rPr>
              <w:t>/year</w:t>
            </w:r>
            <w:r w:rsidRPr="00F5443F">
              <w:rPr>
                <w:sz w:val="18"/>
                <w:szCs w:val="18"/>
              </w:rPr>
              <w:t xml:space="preserve"> or </w:t>
            </w:r>
            <w:r>
              <w:rPr>
                <w:sz w:val="18"/>
                <w:szCs w:val="18"/>
              </w:rPr>
              <w:t>10</w:t>
            </w:r>
            <w:r w:rsidRPr="00F5443F">
              <w:rPr>
                <w:sz w:val="18"/>
                <w:szCs w:val="18"/>
              </w:rPr>
              <w:t xml:space="preserve">% savings in average UEC of </w:t>
            </w:r>
            <w:r w:rsidRPr="00F5443F">
              <w:rPr>
                <w:i/>
                <w:sz w:val="18"/>
                <w:szCs w:val="18"/>
              </w:rPr>
              <w:t>new</w:t>
            </w:r>
            <w:r w:rsidRPr="00F5443F">
              <w:rPr>
                <w:sz w:val="18"/>
                <w:szCs w:val="18"/>
              </w:rPr>
              <w:t xml:space="preserve"> units</w:t>
            </w:r>
          </w:p>
        </w:tc>
        <w:tc>
          <w:tcPr>
            <w:tcW w:w="4673" w:type="dxa"/>
            <w:tcBorders>
              <w:top w:val="single" w:sz="4" w:space="0" w:color="auto"/>
              <w:bottom w:val="single" w:sz="12" w:space="0" w:color="auto"/>
            </w:tcBorders>
            <w:shd w:val="pct10" w:color="auto" w:fill="auto"/>
            <w:vAlign w:val="center"/>
          </w:tcPr>
          <w:p w14:paraId="0EE42203" w14:textId="77777777" w:rsidR="004427B0" w:rsidRDefault="004427B0" w:rsidP="00444D66">
            <w:pPr>
              <w:spacing w:after="0"/>
              <w:jc w:val="left"/>
              <w:rPr>
                <w:sz w:val="18"/>
                <w:szCs w:val="18"/>
              </w:rPr>
            </w:pPr>
            <w:r>
              <w:rPr>
                <w:sz w:val="18"/>
                <w:szCs w:val="18"/>
              </w:rPr>
              <w:t>NEEA estimated that the average new TV UEC is 121 kWh/year, and adding efficiency tips could save 12 kWh/year.</w:t>
            </w:r>
          </w:p>
        </w:tc>
        <w:tc>
          <w:tcPr>
            <w:tcW w:w="2329" w:type="dxa"/>
            <w:vMerge/>
            <w:tcBorders>
              <w:top w:val="single" w:sz="4" w:space="0" w:color="auto"/>
              <w:left w:val="single" w:sz="12" w:space="0" w:color="auto"/>
              <w:bottom w:val="single" w:sz="12" w:space="0" w:color="auto"/>
            </w:tcBorders>
            <w:shd w:val="pct10" w:color="auto" w:fill="auto"/>
            <w:vAlign w:val="center"/>
          </w:tcPr>
          <w:p w14:paraId="60F98BBA" w14:textId="77777777" w:rsidR="004427B0" w:rsidRPr="001B05A5" w:rsidRDefault="004427B0" w:rsidP="00F43304">
            <w:pPr>
              <w:spacing w:after="0"/>
              <w:jc w:val="left"/>
              <w:rPr>
                <w:sz w:val="18"/>
                <w:szCs w:val="18"/>
              </w:rPr>
            </w:pPr>
          </w:p>
        </w:tc>
      </w:tr>
    </w:tbl>
    <w:p w14:paraId="1DD02D6F" w14:textId="4D1AD29C" w:rsidR="00FE382D" w:rsidRDefault="00C949F2" w:rsidP="0018534C">
      <w:pPr>
        <w:keepNext/>
        <w:keepLines/>
        <w:spacing w:after="40" w:line="240" w:lineRule="auto"/>
        <w:jc w:val="left"/>
        <w:rPr>
          <w:sz w:val="20"/>
          <w:szCs w:val="20"/>
        </w:rPr>
      </w:pPr>
      <w:r w:rsidRPr="00870CB6">
        <w:rPr>
          <w:i/>
          <w:sz w:val="20"/>
          <w:szCs w:val="20"/>
        </w:rPr>
        <w:t>Source</w:t>
      </w:r>
      <w:r w:rsidR="008C519E" w:rsidRPr="00870CB6">
        <w:rPr>
          <w:i/>
          <w:sz w:val="20"/>
          <w:szCs w:val="20"/>
        </w:rPr>
        <w:t>s</w:t>
      </w:r>
      <w:r w:rsidRPr="00870CB6">
        <w:rPr>
          <w:sz w:val="20"/>
          <w:szCs w:val="20"/>
        </w:rPr>
        <w:t xml:space="preserve">: </w:t>
      </w:r>
      <w:r w:rsidR="008C519E" w:rsidRPr="00870CB6">
        <w:rPr>
          <w:sz w:val="20"/>
          <w:szCs w:val="20"/>
        </w:rPr>
        <w:t xml:space="preserve">1) </w:t>
      </w:r>
      <w:r w:rsidR="00283F2F" w:rsidRPr="00870CB6">
        <w:rPr>
          <w:sz w:val="20"/>
          <w:szCs w:val="20"/>
        </w:rPr>
        <w:t>Northwest Energy Efficiency Alliance</w:t>
      </w:r>
      <w:r w:rsidRPr="00870CB6">
        <w:rPr>
          <w:sz w:val="20"/>
          <w:szCs w:val="20"/>
        </w:rPr>
        <w:t xml:space="preserve"> (NEEA)</w:t>
      </w:r>
      <w:r w:rsidR="00283F2F" w:rsidRPr="00870CB6">
        <w:rPr>
          <w:sz w:val="20"/>
          <w:szCs w:val="20"/>
        </w:rPr>
        <w:t xml:space="preserve">. </w:t>
      </w:r>
      <w:r w:rsidRPr="00870CB6">
        <w:rPr>
          <w:sz w:val="20"/>
          <w:szCs w:val="20"/>
        </w:rPr>
        <w:t xml:space="preserve">“Energy Savings Opportunities and Market Descriptions for Four Residential Consumer Electronics Products: NEEA TV Savings Calculation Tool.” Spreadsheet. </w:t>
      </w:r>
      <w:r w:rsidR="00C46CE1" w:rsidRPr="00870CB6">
        <w:rPr>
          <w:sz w:val="20"/>
          <w:szCs w:val="20"/>
        </w:rPr>
        <w:t xml:space="preserve">September 2012. </w:t>
      </w:r>
      <w:r w:rsidRPr="00870CB6">
        <w:rPr>
          <w:sz w:val="20"/>
          <w:szCs w:val="20"/>
        </w:rPr>
        <w:t xml:space="preserve">Accessed </w:t>
      </w:r>
      <w:r w:rsidR="00FE382D" w:rsidRPr="00870CB6">
        <w:rPr>
          <w:sz w:val="20"/>
          <w:szCs w:val="20"/>
        </w:rPr>
        <w:t>August 4</w:t>
      </w:r>
      <w:r w:rsidRPr="00870CB6">
        <w:rPr>
          <w:sz w:val="20"/>
          <w:szCs w:val="20"/>
        </w:rPr>
        <w:t>, 2014.</w:t>
      </w:r>
      <w:r w:rsidR="00283F2F" w:rsidRPr="00870CB6">
        <w:rPr>
          <w:sz w:val="20"/>
          <w:szCs w:val="20"/>
        </w:rPr>
        <w:t xml:space="preserve"> </w:t>
      </w:r>
      <w:hyperlink r:id="rId30" w:history="1">
        <w:r w:rsidRPr="00870CB6">
          <w:rPr>
            <w:rStyle w:val="Hyperlink"/>
            <w:sz w:val="20"/>
            <w:szCs w:val="20"/>
          </w:rPr>
          <w:t>http://neea.org/resource-center/market-research-and-evaluation-reports?topic=532330ab-8fe1-4a25-bfe7-ad8cc53f2e28&amp;sort=PublicationDate+DESC</w:t>
        </w:r>
      </w:hyperlink>
      <w:r w:rsidR="002B0092">
        <w:rPr>
          <w:sz w:val="20"/>
          <w:szCs w:val="20"/>
        </w:rPr>
        <w:t xml:space="preserve"> </w:t>
      </w:r>
      <w:r w:rsidR="008C519E" w:rsidRPr="00870CB6">
        <w:rPr>
          <w:sz w:val="20"/>
          <w:szCs w:val="20"/>
        </w:rPr>
        <w:t xml:space="preserve">2) ENERGY STAR. “Televisions for Consumers: Overview.” Accessed August 4, 2014. </w:t>
      </w:r>
      <w:hyperlink r:id="rId31" w:history="1">
        <w:r w:rsidR="008C519E" w:rsidRPr="00870CB6">
          <w:rPr>
            <w:rStyle w:val="Hyperlink"/>
            <w:sz w:val="20"/>
            <w:szCs w:val="20"/>
          </w:rPr>
          <w:t>http://www.energystar.gov/certified-products/detail/televisions</w:t>
        </w:r>
      </w:hyperlink>
      <w:r w:rsidR="008C519E" w:rsidRPr="00870CB6">
        <w:rPr>
          <w:sz w:val="20"/>
          <w:szCs w:val="20"/>
        </w:rPr>
        <w:t xml:space="preserve"> 3) </w:t>
      </w:r>
      <w:r w:rsidR="00C351B9">
        <w:rPr>
          <w:sz w:val="20"/>
          <w:szCs w:val="20"/>
        </w:rPr>
        <w:t xml:space="preserve">Northeast Energy Efficiency Partnerships (NEEP). “Business &amp; Consumer Electronics: A Strategy for the Northeast.” August 2013. </w:t>
      </w:r>
      <w:hyperlink r:id="rId32" w:history="1">
        <w:r w:rsidR="00C351B9" w:rsidRPr="002D34E8">
          <w:rPr>
            <w:rStyle w:val="Hyperlink"/>
            <w:sz w:val="20"/>
            <w:szCs w:val="20"/>
          </w:rPr>
          <w:t>http://neep.org/Assets/uploads/files/market-strategies/BCE/2013%20BCE%20Strategy_FINAL.pdf</w:t>
        </w:r>
      </w:hyperlink>
      <w:r w:rsidR="00D620D5">
        <w:rPr>
          <w:sz w:val="20"/>
          <w:szCs w:val="20"/>
        </w:rPr>
        <w:t xml:space="preserve"> 4) </w:t>
      </w:r>
      <w:r w:rsidR="00C42927" w:rsidRPr="00870CB6">
        <w:rPr>
          <w:sz w:val="20"/>
          <w:szCs w:val="20"/>
        </w:rPr>
        <w:t xml:space="preserve">United Illuminating </w:t>
      </w:r>
      <w:r w:rsidR="00AA5923" w:rsidRPr="00870CB6">
        <w:rPr>
          <w:sz w:val="20"/>
          <w:szCs w:val="20"/>
        </w:rPr>
        <w:t xml:space="preserve">(UI) </w:t>
      </w:r>
      <w:r w:rsidR="00C42927" w:rsidRPr="00870CB6">
        <w:rPr>
          <w:sz w:val="20"/>
          <w:szCs w:val="20"/>
        </w:rPr>
        <w:t>and Connecticut Light &amp; Power Company</w:t>
      </w:r>
      <w:r w:rsidR="00AA5923" w:rsidRPr="00870CB6">
        <w:rPr>
          <w:sz w:val="20"/>
          <w:szCs w:val="20"/>
        </w:rPr>
        <w:t xml:space="preserve"> (CL&amp;P)</w:t>
      </w:r>
      <w:r w:rsidR="00C42927" w:rsidRPr="00870CB6">
        <w:rPr>
          <w:sz w:val="20"/>
          <w:szCs w:val="20"/>
        </w:rPr>
        <w:t>. “Conne</w:t>
      </w:r>
      <w:r w:rsidR="00AA5923" w:rsidRPr="00870CB6">
        <w:rPr>
          <w:sz w:val="20"/>
          <w:szCs w:val="20"/>
        </w:rPr>
        <w:t>cticut Program Savings Document:</w:t>
      </w:r>
      <w:r w:rsidR="00C42927" w:rsidRPr="00870CB6">
        <w:rPr>
          <w:sz w:val="20"/>
          <w:szCs w:val="20"/>
        </w:rPr>
        <w:t xml:space="preserve"> 9</w:t>
      </w:r>
      <w:r w:rsidR="00C42927" w:rsidRPr="00870CB6">
        <w:rPr>
          <w:sz w:val="20"/>
          <w:szCs w:val="20"/>
          <w:vertAlign w:val="superscript"/>
        </w:rPr>
        <w:t>th</w:t>
      </w:r>
      <w:r w:rsidR="00C42927" w:rsidRPr="00870CB6">
        <w:rPr>
          <w:sz w:val="20"/>
          <w:szCs w:val="20"/>
        </w:rPr>
        <w:t xml:space="preserve"> Edition for 2014 Program Year.</w:t>
      </w:r>
      <w:r w:rsidR="00AA5923" w:rsidRPr="00870CB6">
        <w:rPr>
          <w:sz w:val="20"/>
          <w:szCs w:val="20"/>
        </w:rPr>
        <w:t>”</w:t>
      </w:r>
      <w:r w:rsidR="00C42927" w:rsidRPr="00870CB6">
        <w:rPr>
          <w:sz w:val="20"/>
          <w:szCs w:val="20"/>
        </w:rPr>
        <w:t xml:space="preserve"> January </w:t>
      </w:r>
      <w:r w:rsidR="00BB2C24" w:rsidRPr="00870CB6">
        <w:rPr>
          <w:sz w:val="20"/>
          <w:szCs w:val="20"/>
        </w:rPr>
        <w:t>6, 2014. Received July 22, 2014</w:t>
      </w:r>
      <w:r w:rsidR="00880C5A">
        <w:rPr>
          <w:sz w:val="20"/>
          <w:szCs w:val="20"/>
        </w:rPr>
        <w:t>.</w:t>
      </w:r>
      <w:r w:rsidR="00BB2C24" w:rsidRPr="00870CB6">
        <w:rPr>
          <w:sz w:val="20"/>
          <w:szCs w:val="20"/>
        </w:rPr>
        <w:t xml:space="preserve"> </w:t>
      </w:r>
      <w:r w:rsidR="00D620D5">
        <w:rPr>
          <w:sz w:val="20"/>
          <w:szCs w:val="20"/>
        </w:rPr>
        <w:t>5</w:t>
      </w:r>
      <w:r w:rsidR="00DD6408" w:rsidRPr="00870CB6">
        <w:rPr>
          <w:sz w:val="20"/>
          <w:szCs w:val="20"/>
        </w:rPr>
        <w:t xml:space="preserve">) </w:t>
      </w:r>
      <w:r w:rsidR="00870CB6" w:rsidRPr="00870CB6">
        <w:rPr>
          <w:sz w:val="20"/>
          <w:szCs w:val="20"/>
        </w:rPr>
        <w:t>Fraunhofer. “Energy Consumpti</w:t>
      </w:r>
      <w:r w:rsidR="002B0092">
        <w:rPr>
          <w:sz w:val="20"/>
          <w:szCs w:val="20"/>
        </w:rPr>
        <w:t>on of Consumer Electronics in US</w:t>
      </w:r>
      <w:r w:rsidR="00870CB6" w:rsidRPr="00870CB6">
        <w:rPr>
          <w:sz w:val="20"/>
          <w:szCs w:val="20"/>
        </w:rPr>
        <w:t xml:space="preserve"> Homes in 2013.”</w:t>
      </w:r>
    </w:p>
    <w:p w14:paraId="566BB4A5" w14:textId="77777777" w:rsidR="00195F39" w:rsidRDefault="00195F39" w:rsidP="0018534C">
      <w:pPr>
        <w:spacing w:after="40" w:line="240" w:lineRule="auto"/>
        <w:jc w:val="left"/>
        <w:rPr>
          <w:sz w:val="20"/>
          <w:szCs w:val="20"/>
        </w:rPr>
      </w:pPr>
      <w:r w:rsidRPr="00D80285">
        <w:rPr>
          <w:i/>
          <w:sz w:val="20"/>
          <w:szCs w:val="20"/>
        </w:rPr>
        <w:t xml:space="preserve">Note: </w:t>
      </w:r>
      <w:r w:rsidR="00462B98">
        <w:rPr>
          <w:sz w:val="20"/>
          <w:szCs w:val="20"/>
        </w:rPr>
        <w:t>1) Measures shaded in grey are longer-term options; measures without shading are those which the Companies could</w:t>
      </w:r>
      <w:r w:rsidR="00E20506">
        <w:rPr>
          <w:sz w:val="20"/>
          <w:szCs w:val="20"/>
        </w:rPr>
        <w:t>, if desired,</w:t>
      </w:r>
      <w:r w:rsidR="00462B98">
        <w:rPr>
          <w:sz w:val="20"/>
          <w:szCs w:val="20"/>
        </w:rPr>
        <w:t xml:space="preserve"> implement in the shorter</w:t>
      </w:r>
      <w:r w:rsidR="001E1AE8">
        <w:rPr>
          <w:sz w:val="20"/>
          <w:szCs w:val="20"/>
        </w:rPr>
        <w:t xml:space="preserve"> </w:t>
      </w:r>
      <w:r w:rsidR="00462B98">
        <w:rPr>
          <w:sz w:val="20"/>
          <w:szCs w:val="20"/>
        </w:rPr>
        <w:t xml:space="preserve">term and do not require influencing manufacturers, legislators, or other entities. 2) </w:t>
      </w:r>
      <w:r>
        <w:rPr>
          <w:sz w:val="20"/>
          <w:szCs w:val="20"/>
        </w:rPr>
        <w:t xml:space="preserve">NMR calculated savings for measures using several secondary sources; </w:t>
      </w:r>
      <w:r w:rsidR="001E1AE8">
        <w:rPr>
          <w:sz w:val="20"/>
          <w:szCs w:val="20"/>
        </w:rPr>
        <w:t>therefore</w:t>
      </w:r>
      <w:r>
        <w:rPr>
          <w:sz w:val="20"/>
          <w:szCs w:val="20"/>
        </w:rPr>
        <w:t xml:space="preserve">, results </w:t>
      </w:r>
      <w:r w:rsidR="001E1AE8">
        <w:rPr>
          <w:sz w:val="20"/>
          <w:szCs w:val="20"/>
        </w:rPr>
        <w:t xml:space="preserve">should be interpreted </w:t>
      </w:r>
      <w:r>
        <w:rPr>
          <w:sz w:val="20"/>
          <w:szCs w:val="20"/>
        </w:rPr>
        <w:t>with caution</w:t>
      </w:r>
      <w:r w:rsidR="001E1AE8">
        <w:rPr>
          <w:sz w:val="20"/>
          <w:szCs w:val="20"/>
        </w:rPr>
        <w:t>, as</w:t>
      </w:r>
      <w:r>
        <w:rPr>
          <w:sz w:val="20"/>
          <w:szCs w:val="20"/>
        </w:rPr>
        <w:t xml:space="preserve"> figures do not align across sources. </w:t>
      </w:r>
      <w:r w:rsidR="00462B98">
        <w:rPr>
          <w:sz w:val="20"/>
          <w:szCs w:val="20"/>
        </w:rPr>
        <w:t xml:space="preserve">3) </w:t>
      </w:r>
      <w:r>
        <w:rPr>
          <w:sz w:val="20"/>
          <w:szCs w:val="20"/>
        </w:rPr>
        <w:t xml:space="preserve">The implementation strategies </w:t>
      </w:r>
      <w:r w:rsidR="008419ED">
        <w:rPr>
          <w:sz w:val="20"/>
          <w:szCs w:val="20"/>
        </w:rPr>
        <w:t xml:space="preserve">reflect a mixture of </w:t>
      </w:r>
      <w:r>
        <w:rPr>
          <w:sz w:val="20"/>
          <w:szCs w:val="20"/>
        </w:rPr>
        <w:t>suggest</w:t>
      </w:r>
      <w:r w:rsidR="008419ED">
        <w:rPr>
          <w:sz w:val="20"/>
          <w:szCs w:val="20"/>
        </w:rPr>
        <w:t>ions from the literature and NMR’s own insights</w:t>
      </w:r>
      <w:r>
        <w:rPr>
          <w:sz w:val="20"/>
          <w:szCs w:val="20"/>
        </w:rPr>
        <w:t>.</w:t>
      </w:r>
    </w:p>
    <w:p w14:paraId="7C9121E2" w14:textId="30CB377A" w:rsidR="00B81146" w:rsidRDefault="00D33CDC" w:rsidP="0018534C">
      <w:pPr>
        <w:spacing w:after="40" w:line="240" w:lineRule="auto"/>
        <w:jc w:val="left"/>
        <w:rPr>
          <w:sz w:val="20"/>
          <w:szCs w:val="20"/>
        </w:rPr>
      </w:pPr>
      <w:r>
        <w:rPr>
          <w:sz w:val="20"/>
          <w:szCs w:val="20"/>
        </w:rPr>
        <w:t xml:space="preserve">* </w:t>
      </w:r>
      <w:r w:rsidRPr="00D33CDC">
        <w:rPr>
          <w:sz w:val="20"/>
          <w:szCs w:val="20"/>
        </w:rPr>
        <w:t>Midstream incentives refer to incentives directed at retailers or distributors for the shipping, sale, or purchase of a given product</w:t>
      </w:r>
      <w:r w:rsidR="001E1AE8">
        <w:rPr>
          <w:sz w:val="20"/>
          <w:szCs w:val="20"/>
        </w:rPr>
        <w:t>,</w:t>
      </w:r>
      <w:r w:rsidRPr="00D33CDC">
        <w:rPr>
          <w:sz w:val="20"/>
          <w:szCs w:val="20"/>
        </w:rPr>
        <w:t xml:space="preserve"> and downstream incentives refer to incentives directed at end-users or customers for the purchase of a given </w:t>
      </w:r>
      <w:r w:rsidR="00E20506">
        <w:rPr>
          <w:sz w:val="20"/>
          <w:szCs w:val="20"/>
        </w:rPr>
        <w:t>product</w:t>
      </w:r>
      <w:r w:rsidRPr="00D33CDC">
        <w:rPr>
          <w:sz w:val="20"/>
          <w:szCs w:val="20"/>
        </w:rPr>
        <w:t>.</w:t>
      </w:r>
      <w:r w:rsidR="00B81146" w:rsidRPr="00B81146">
        <w:rPr>
          <w:sz w:val="20"/>
          <w:szCs w:val="20"/>
        </w:rPr>
        <w:t xml:space="preserve"> </w:t>
      </w:r>
    </w:p>
    <w:p w14:paraId="35D5684E" w14:textId="66CDDF0C" w:rsidR="00D33CDC" w:rsidRDefault="00B81146" w:rsidP="0018534C">
      <w:pPr>
        <w:spacing w:after="40" w:line="240" w:lineRule="auto"/>
        <w:jc w:val="left"/>
        <w:rPr>
          <w:sz w:val="20"/>
          <w:szCs w:val="20"/>
        </w:rPr>
      </w:pPr>
      <w:r>
        <w:rPr>
          <w:sz w:val="20"/>
          <w:szCs w:val="20"/>
        </w:rPr>
        <w:t>** Consumers purchasing new TVs are reportedly opting for larger sized TVs more frequently</w:t>
      </w:r>
      <w:r w:rsidRPr="004B6931">
        <w:rPr>
          <w:sz w:val="20"/>
          <w:szCs w:val="20"/>
        </w:rPr>
        <w:t>—</w:t>
      </w:r>
      <w:r>
        <w:rPr>
          <w:sz w:val="20"/>
          <w:szCs w:val="20"/>
        </w:rPr>
        <w:t xml:space="preserve">thus possibly reducing the estimated savings. </w:t>
      </w:r>
      <w:r w:rsidRPr="004B6931">
        <w:rPr>
          <w:i/>
          <w:sz w:val="20"/>
          <w:szCs w:val="20"/>
        </w:rPr>
        <w:t>Source</w:t>
      </w:r>
      <w:r>
        <w:rPr>
          <w:sz w:val="20"/>
          <w:szCs w:val="20"/>
        </w:rPr>
        <w:t xml:space="preserve">: </w:t>
      </w:r>
      <w:r w:rsidRPr="004B6931">
        <w:rPr>
          <w:sz w:val="20"/>
          <w:szCs w:val="20"/>
        </w:rPr>
        <w:t>NMR. “Massachusetts Consumer Electronics Potential Qualitative Research Study.”</w:t>
      </w:r>
    </w:p>
    <w:p w14:paraId="662FA4C8" w14:textId="2BB90D8B" w:rsidR="00257E05" w:rsidRPr="006E1A51" w:rsidRDefault="00257E05" w:rsidP="0018534C">
      <w:pPr>
        <w:spacing w:after="40" w:line="240" w:lineRule="auto"/>
        <w:jc w:val="left"/>
        <w:rPr>
          <w:sz w:val="20"/>
          <w:szCs w:val="20"/>
        </w:rPr>
      </w:pPr>
      <w:r w:rsidRPr="006E1A51">
        <w:rPr>
          <w:rFonts w:cs="Times New Roman"/>
          <w:sz w:val="20"/>
          <w:szCs w:val="20"/>
        </w:rPr>
        <w:t>† NEEA associated TVs</w:t>
      </w:r>
      <w:r w:rsidR="006E1A51" w:rsidRPr="006E1A51">
        <w:rPr>
          <w:rFonts w:cs="Times New Roman"/>
          <w:sz w:val="20"/>
          <w:szCs w:val="20"/>
        </w:rPr>
        <w:t xml:space="preserve"> manufactured before 2006</w:t>
      </w:r>
      <w:r w:rsidRPr="006E1A51">
        <w:rPr>
          <w:rFonts w:cs="Times New Roman"/>
          <w:sz w:val="20"/>
          <w:szCs w:val="20"/>
        </w:rPr>
        <w:t xml:space="preserve"> with a UEC of 113 kWh/year. In looking at the </w:t>
      </w:r>
      <w:r w:rsidRPr="006E1A51">
        <w:rPr>
          <w:rFonts w:cs="Times New Roman"/>
          <w:i/>
          <w:sz w:val="20"/>
          <w:szCs w:val="20"/>
        </w:rPr>
        <w:t>entire</w:t>
      </w:r>
      <w:r w:rsidRPr="006E1A51">
        <w:rPr>
          <w:rFonts w:cs="Times New Roman"/>
          <w:sz w:val="20"/>
          <w:szCs w:val="20"/>
        </w:rPr>
        <w:t xml:space="preserve"> installed base of TVs, they estimate</w:t>
      </w:r>
      <w:r w:rsidR="006E1A51">
        <w:rPr>
          <w:rFonts w:cs="Times New Roman"/>
          <w:sz w:val="20"/>
          <w:szCs w:val="20"/>
        </w:rPr>
        <w:t>d</w:t>
      </w:r>
      <w:r w:rsidRPr="006E1A51">
        <w:rPr>
          <w:rFonts w:cs="Times New Roman"/>
          <w:sz w:val="20"/>
          <w:szCs w:val="20"/>
        </w:rPr>
        <w:t xml:space="preserve"> that the average UEC of </w:t>
      </w:r>
      <w:r w:rsidR="006E1A51">
        <w:rPr>
          <w:rFonts w:cs="Times New Roman"/>
          <w:sz w:val="20"/>
          <w:szCs w:val="20"/>
        </w:rPr>
        <w:t xml:space="preserve">the installed base of </w:t>
      </w:r>
      <w:r w:rsidRPr="006E1A51">
        <w:rPr>
          <w:rFonts w:cs="Times New Roman"/>
          <w:sz w:val="20"/>
          <w:szCs w:val="20"/>
        </w:rPr>
        <w:t xml:space="preserve">TVs is 256 kWh/year. This vast discrepancy </w:t>
      </w:r>
      <w:r w:rsidR="006E1A51" w:rsidRPr="006E1A51">
        <w:rPr>
          <w:rFonts w:cs="Times New Roman"/>
          <w:sz w:val="20"/>
          <w:szCs w:val="20"/>
        </w:rPr>
        <w:t>may be</w:t>
      </w:r>
      <w:r w:rsidRPr="006E1A51">
        <w:rPr>
          <w:rFonts w:cs="Times New Roman"/>
          <w:sz w:val="20"/>
          <w:szCs w:val="20"/>
        </w:rPr>
        <w:t xml:space="preserve"> attributed to </w:t>
      </w:r>
      <w:r w:rsidR="006E1A51" w:rsidRPr="006E1A51">
        <w:rPr>
          <w:rFonts w:cs="Times New Roman"/>
          <w:sz w:val="20"/>
          <w:szCs w:val="20"/>
        </w:rPr>
        <w:t>the likely increases in size and expansion of higher-consuming features in recent years. NEEA also makes the assumption that older TVs are used for fewer hours per day when compared to new TVs (3hr vs. 5hr) which may also impact consumption.</w:t>
      </w:r>
    </w:p>
    <w:p w14:paraId="570F3D7E" w14:textId="77777777" w:rsidR="00EB1DCF" w:rsidRPr="00870CB6" w:rsidRDefault="00EB1DCF">
      <w:pPr>
        <w:spacing w:after="200"/>
        <w:jc w:val="left"/>
        <w:rPr>
          <w:rFonts w:ascii="Arial" w:eastAsiaTheme="majorEastAsia" w:hAnsi="Arial" w:cstheme="majorBidi"/>
          <w:b/>
          <w:bCs/>
          <w:sz w:val="20"/>
          <w:szCs w:val="20"/>
        </w:rPr>
      </w:pPr>
    </w:p>
    <w:p w14:paraId="7EB6FDB6" w14:textId="77777777" w:rsidR="00F81ED3" w:rsidRDefault="00F81ED3" w:rsidP="00C16110">
      <w:pPr>
        <w:pStyle w:val="Heading2"/>
        <w:sectPr w:rsidR="00F81ED3" w:rsidSect="004C67E5">
          <w:pgSz w:w="15840" w:h="12240" w:orient="landscape"/>
          <w:pgMar w:top="1440" w:right="1440" w:bottom="1440" w:left="1440" w:header="720" w:footer="720" w:gutter="0"/>
          <w:cols w:space="720"/>
          <w:docGrid w:linePitch="360"/>
        </w:sectPr>
      </w:pPr>
    </w:p>
    <w:p w14:paraId="4D302162" w14:textId="77777777" w:rsidR="002476BE" w:rsidRDefault="002476BE" w:rsidP="00C16110">
      <w:pPr>
        <w:pStyle w:val="Heading2"/>
      </w:pPr>
      <w:bookmarkStart w:id="37" w:name="_Ref399067832"/>
      <w:bookmarkStart w:id="38" w:name="_Toc401667846"/>
      <w:r>
        <w:lastRenderedPageBreak/>
        <w:t>Set-Top Boxes</w:t>
      </w:r>
      <w:bookmarkEnd w:id="37"/>
      <w:bookmarkEnd w:id="38"/>
    </w:p>
    <w:p w14:paraId="4A7D8697" w14:textId="2F7E3CA1" w:rsidR="00EC1683" w:rsidRDefault="00F537F1" w:rsidP="00664554">
      <w:r>
        <w:fldChar w:fldCharType="begin"/>
      </w:r>
      <w:r>
        <w:instrText xml:space="preserve"> REF _Ref399067862 \h </w:instrText>
      </w:r>
      <w:r>
        <w:fldChar w:fldCharType="separate"/>
      </w:r>
      <w:r w:rsidR="00302A02" w:rsidRPr="00BE39C2">
        <w:t xml:space="preserve">Table </w:t>
      </w:r>
      <w:r w:rsidR="00302A02">
        <w:rPr>
          <w:noProof/>
        </w:rPr>
        <w:t>4</w:t>
      </w:r>
      <w:r>
        <w:fldChar w:fldCharType="end"/>
      </w:r>
      <w:r>
        <w:t xml:space="preserve"> </w:t>
      </w:r>
      <w:r w:rsidR="006D2718">
        <w:t xml:space="preserve">presents measures that could decrease the energy consumption associated with STBs. The measure that </w:t>
      </w:r>
      <w:r w:rsidR="00814EF9">
        <w:t>apparently re</w:t>
      </w:r>
      <w:r w:rsidR="006D2718">
        <w:t>present</w:t>
      </w:r>
      <w:r w:rsidR="00814EF9">
        <w:t>s the greatest savings</w:t>
      </w:r>
      <w:r w:rsidR="00C17FEC">
        <w:t>—</w:t>
      </w:r>
      <w:r w:rsidR="00100988">
        <w:t>although likely not a feasible program strategy</w:t>
      </w:r>
      <w:r w:rsidR="00C17FEC">
        <w:t>—</w:t>
      </w:r>
      <w:r w:rsidR="00814EF9">
        <w:t xml:space="preserve">would </w:t>
      </w:r>
      <w:r w:rsidR="00E20506">
        <w:t>involve</w:t>
      </w:r>
      <w:r w:rsidR="00814EF9">
        <w:t xml:space="preserve"> entirely eliminat</w:t>
      </w:r>
      <w:r w:rsidR="00E20506">
        <w:t>ing</w:t>
      </w:r>
      <w:r w:rsidR="00814EF9">
        <w:t xml:space="preserve"> the use of pay-TV service that use</w:t>
      </w:r>
      <w:r w:rsidR="006A0338">
        <w:t>s</w:t>
      </w:r>
      <w:r w:rsidR="00814EF9">
        <w:t xml:space="preserve"> </w:t>
      </w:r>
      <w:r w:rsidR="00E20506">
        <w:t xml:space="preserve">cable or satellite </w:t>
      </w:r>
      <w:r w:rsidR="00814EF9">
        <w:t>STBs. NEEA suggest</w:t>
      </w:r>
      <w:r w:rsidR="00F456F2">
        <w:t>s</w:t>
      </w:r>
      <w:r w:rsidR="00814EF9">
        <w:t xml:space="preserve"> that this could reduce </w:t>
      </w:r>
      <w:r w:rsidR="00621B4F">
        <w:t xml:space="preserve">a </w:t>
      </w:r>
      <w:r w:rsidR="00814EF9">
        <w:t>household</w:t>
      </w:r>
      <w:r w:rsidR="00621B4F">
        <w:t>’s</w:t>
      </w:r>
      <w:r w:rsidR="00814EF9">
        <w:t xml:space="preserve"> ene</w:t>
      </w:r>
      <w:r w:rsidR="00621B4F">
        <w:t>rgy consumption by 180</w:t>
      </w:r>
      <w:r w:rsidR="006A0338">
        <w:t xml:space="preserve"> </w:t>
      </w:r>
      <w:r w:rsidR="00621B4F">
        <w:t>kWh/year</w:t>
      </w:r>
      <w:r w:rsidR="003135CB">
        <w:t>—</w:t>
      </w:r>
      <w:r w:rsidR="00621B4F">
        <w:t xml:space="preserve">a 90% savings. </w:t>
      </w:r>
      <w:r w:rsidR="00EC1683">
        <w:t>A more realistic measure</w:t>
      </w:r>
      <w:r w:rsidR="00F456F2">
        <w:t>—</w:t>
      </w:r>
      <w:r w:rsidR="00EC1683">
        <w:t>reconfiguring</w:t>
      </w:r>
      <w:r w:rsidR="00A021A1">
        <w:t xml:space="preserve"> high-consuming multi-room STB configurations by replacing the non-primary devices with low-power “thin-client” devices with the same functionality</w:t>
      </w:r>
      <w:r w:rsidR="00F456F2">
        <w:t>—</w:t>
      </w:r>
      <w:r w:rsidR="00EC1683">
        <w:t>could reduce</w:t>
      </w:r>
      <w:r w:rsidR="00A021A1">
        <w:t xml:space="preserve"> annual UEC</w:t>
      </w:r>
      <w:r w:rsidR="00EC1683">
        <w:t xml:space="preserve"> of those non-primary units</w:t>
      </w:r>
      <w:r w:rsidR="00A021A1">
        <w:t xml:space="preserve"> by </w:t>
      </w:r>
      <w:r w:rsidR="00621B4F">
        <w:t>52%</w:t>
      </w:r>
      <w:r w:rsidR="00A021A1">
        <w:t>. Another effective way to reduce STB consumption would be through selection of ENERGY STAR models: ENERGY STAR report</w:t>
      </w:r>
      <w:r w:rsidR="00F456F2">
        <w:t>s</w:t>
      </w:r>
      <w:r w:rsidR="00A021A1">
        <w:t xml:space="preserve"> that ENERGY STAR STBs offer savings of 45% over standard models.</w:t>
      </w:r>
      <w:r w:rsidR="00621B4F">
        <w:rPr>
          <w:rStyle w:val="FootnoteReference"/>
        </w:rPr>
        <w:footnoteReference w:id="22"/>
      </w:r>
      <w:r w:rsidR="00A021A1">
        <w:t xml:space="preserve"> </w:t>
      </w:r>
    </w:p>
    <w:p w14:paraId="4CA12E77" w14:textId="77777777" w:rsidR="00664554" w:rsidRDefault="00EB6ADB" w:rsidP="00664554">
      <w:r>
        <w:t>These three top-saving measures could be addressed</w:t>
      </w:r>
      <w:r w:rsidR="00EC1683">
        <w:t xml:space="preserve"> similar</w:t>
      </w:r>
      <w:r>
        <w:t>ly</w:t>
      </w:r>
      <w:r w:rsidR="00EC1683">
        <w:t xml:space="preserve"> to those </w:t>
      </w:r>
      <w:r w:rsidR="00F456F2">
        <w:t>suggested for</w:t>
      </w:r>
      <w:r w:rsidR="00EC1683">
        <w:t xml:space="preserve"> TVs, </w:t>
      </w:r>
      <w:r w:rsidR="00F456F2">
        <w:t>including</w:t>
      </w:r>
      <w:r w:rsidR="00EC1683">
        <w:t xml:space="preserve"> recycling programs</w:t>
      </w:r>
      <w:r>
        <w:t>, midstream and downstream incentives, and</w:t>
      </w:r>
      <w:r w:rsidR="00EC1683">
        <w:t xml:space="preserve"> consumer education campaigns</w:t>
      </w:r>
      <w:r w:rsidR="0030067B">
        <w:t xml:space="preserve">. </w:t>
      </w:r>
      <w:r w:rsidR="00E20506">
        <w:t>Measure 4</w:t>
      </w:r>
      <w:r w:rsidR="0030067B">
        <w:t>, incorporating “light sleep</w:t>
      </w:r>
      <w:r w:rsidR="00F456F2">
        <w:t>,</w:t>
      </w:r>
      <w:r w:rsidR="0030067B">
        <w:t>” would likely require cooperation</w:t>
      </w:r>
      <w:r w:rsidR="00EC1683">
        <w:t xml:space="preserve"> and p</w:t>
      </w:r>
      <w:r w:rsidR="00EC1683" w:rsidRPr="00CB5661">
        <w:t>artnership</w:t>
      </w:r>
      <w:r w:rsidR="00EC1683">
        <w:t>s</w:t>
      </w:r>
      <w:r w:rsidR="00EC1683" w:rsidRPr="00CB5661">
        <w:t xml:space="preserve"> with </w:t>
      </w:r>
      <w:r w:rsidR="0030067B">
        <w:t xml:space="preserve">media service providers, </w:t>
      </w:r>
      <w:r w:rsidR="00EC1683" w:rsidRPr="00CB5661">
        <w:t>policymakers, specification and standard setting entities, and manufacturers</w:t>
      </w:r>
      <w:r w:rsidR="0030067B">
        <w:t>—all longer-term approaches</w:t>
      </w:r>
      <w:r w:rsidR="00EC1683">
        <w:t>.</w:t>
      </w:r>
    </w:p>
    <w:p w14:paraId="5E805C60" w14:textId="77777777" w:rsidR="00F537F1" w:rsidRPr="00664554" w:rsidRDefault="00F537F1" w:rsidP="00664554"/>
    <w:p w14:paraId="7D64C436" w14:textId="77777777" w:rsidR="00D33A4F" w:rsidRDefault="00D33A4F">
      <w:pPr>
        <w:spacing w:after="200"/>
        <w:jc w:val="left"/>
        <w:sectPr w:rsidR="00D33A4F" w:rsidSect="004C67E5">
          <w:headerReference w:type="default" r:id="rId33"/>
          <w:footerReference w:type="default" r:id="rId34"/>
          <w:pgSz w:w="12240" w:h="15840"/>
          <w:pgMar w:top="1440" w:right="1440" w:bottom="1440" w:left="1440" w:header="720" w:footer="720" w:gutter="0"/>
          <w:cols w:space="720"/>
          <w:docGrid w:linePitch="360"/>
        </w:sectPr>
      </w:pPr>
      <w:bookmarkStart w:id="39" w:name="_Ref396736877"/>
    </w:p>
    <w:p w14:paraId="1DC836B1" w14:textId="77777777" w:rsidR="009C3541" w:rsidRPr="00BE39C2" w:rsidRDefault="009C3541" w:rsidP="009D3B67">
      <w:pPr>
        <w:pStyle w:val="Caption"/>
      </w:pPr>
      <w:bookmarkStart w:id="40" w:name="_Ref399067862"/>
      <w:bookmarkStart w:id="41" w:name="_Toc400007928"/>
      <w:r w:rsidRPr="00BE39C2">
        <w:lastRenderedPageBreak/>
        <w:t xml:space="preserve">Table </w:t>
      </w:r>
      <w:fldSimple w:instr=" SEQ Table \* ARABIC ">
        <w:r w:rsidR="00302A02">
          <w:rPr>
            <w:noProof/>
          </w:rPr>
          <w:t>4</w:t>
        </w:r>
      </w:fldSimple>
      <w:bookmarkEnd w:id="39"/>
      <w:bookmarkEnd w:id="40"/>
      <w:r w:rsidRPr="00BE39C2">
        <w:t>: Energy Savings Opportunities – Set-Top Boxes</w:t>
      </w:r>
      <w:bookmarkEnd w:id="41"/>
    </w:p>
    <w:tbl>
      <w:tblPr>
        <w:tblStyle w:val="TableGrid"/>
        <w:tblW w:w="129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1"/>
        <w:gridCol w:w="1800"/>
        <w:gridCol w:w="1710"/>
        <w:gridCol w:w="5220"/>
        <w:gridCol w:w="2780"/>
      </w:tblGrid>
      <w:tr w:rsidR="005D30DB" w:rsidRPr="001B05A5" w14:paraId="41A1A71A" w14:textId="77777777" w:rsidTr="005D30DB">
        <w:trPr>
          <w:cantSplit/>
          <w:tblHeader/>
          <w:jc w:val="center"/>
        </w:trPr>
        <w:tc>
          <w:tcPr>
            <w:tcW w:w="1431" w:type="dxa"/>
            <w:tcBorders>
              <w:top w:val="single" w:sz="12" w:space="0" w:color="auto"/>
              <w:bottom w:val="double" w:sz="4" w:space="0" w:color="auto"/>
            </w:tcBorders>
            <w:vAlign w:val="center"/>
          </w:tcPr>
          <w:p w14:paraId="24E6ED82" w14:textId="77777777" w:rsidR="005D30DB" w:rsidRPr="001B05A5" w:rsidRDefault="005D30DB" w:rsidP="00D33A4F">
            <w:pPr>
              <w:keepNext/>
              <w:keepLines/>
              <w:spacing w:after="0"/>
              <w:jc w:val="left"/>
              <w:rPr>
                <w:b/>
                <w:sz w:val="18"/>
                <w:szCs w:val="18"/>
              </w:rPr>
            </w:pPr>
            <w:r>
              <w:rPr>
                <w:b/>
                <w:sz w:val="18"/>
                <w:szCs w:val="18"/>
              </w:rPr>
              <w:t>Savings Measure</w:t>
            </w:r>
          </w:p>
        </w:tc>
        <w:tc>
          <w:tcPr>
            <w:tcW w:w="1800" w:type="dxa"/>
            <w:tcBorders>
              <w:top w:val="single" w:sz="12" w:space="0" w:color="auto"/>
              <w:bottom w:val="double" w:sz="4" w:space="0" w:color="auto"/>
            </w:tcBorders>
            <w:vAlign w:val="center"/>
          </w:tcPr>
          <w:p w14:paraId="4A325976" w14:textId="77777777" w:rsidR="005D30DB" w:rsidRPr="001B05A5" w:rsidRDefault="005D30DB" w:rsidP="00D33A4F">
            <w:pPr>
              <w:keepNext/>
              <w:keepLines/>
              <w:spacing w:after="0"/>
              <w:jc w:val="left"/>
              <w:rPr>
                <w:b/>
                <w:sz w:val="18"/>
                <w:szCs w:val="18"/>
              </w:rPr>
            </w:pPr>
            <w:r>
              <w:rPr>
                <w:b/>
                <w:sz w:val="18"/>
                <w:szCs w:val="18"/>
              </w:rPr>
              <w:t>Description</w:t>
            </w:r>
          </w:p>
        </w:tc>
        <w:tc>
          <w:tcPr>
            <w:tcW w:w="1710" w:type="dxa"/>
            <w:tcBorders>
              <w:top w:val="single" w:sz="12" w:space="0" w:color="auto"/>
              <w:bottom w:val="double" w:sz="4" w:space="0" w:color="auto"/>
            </w:tcBorders>
            <w:vAlign w:val="center"/>
          </w:tcPr>
          <w:p w14:paraId="089ED76A" w14:textId="77777777" w:rsidR="005D30DB" w:rsidRPr="001B05A5" w:rsidRDefault="005D30DB" w:rsidP="00D33A4F">
            <w:pPr>
              <w:keepNext/>
              <w:keepLines/>
              <w:spacing w:after="0"/>
              <w:jc w:val="left"/>
              <w:rPr>
                <w:b/>
                <w:sz w:val="18"/>
                <w:szCs w:val="18"/>
              </w:rPr>
            </w:pPr>
            <w:r>
              <w:rPr>
                <w:b/>
                <w:sz w:val="18"/>
                <w:szCs w:val="18"/>
              </w:rPr>
              <w:t xml:space="preserve">Estimated </w:t>
            </w:r>
            <w:r w:rsidRPr="001B05A5">
              <w:rPr>
                <w:b/>
                <w:sz w:val="18"/>
                <w:szCs w:val="18"/>
              </w:rPr>
              <w:t>Savings Potential</w:t>
            </w:r>
          </w:p>
        </w:tc>
        <w:tc>
          <w:tcPr>
            <w:tcW w:w="5220" w:type="dxa"/>
            <w:tcBorders>
              <w:top w:val="single" w:sz="12" w:space="0" w:color="auto"/>
              <w:bottom w:val="double" w:sz="4" w:space="0" w:color="auto"/>
            </w:tcBorders>
            <w:vAlign w:val="center"/>
          </w:tcPr>
          <w:p w14:paraId="50BAC54A" w14:textId="77777777" w:rsidR="005D30DB" w:rsidRDefault="005D30DB" w:rsidP="00D33A4F">
            <w:pPr>
              <w:keepNext/>
              <w:keepLines/>
              <w:spacing w:after="0"/>
              <w:jc w:val="left"/>
              <w:rPr>
                <w:b/>
                <w:sz w:val="18"/>
                <w:szCs w:val="18"/>
              </w:rPr>
            </w:pPr>
            <w:r>
              <w:rPr>
                <w:b/>
                <w:sz w:val="18"/>
                <w:szCs w:val="18"/>
              </w:rPr>
              <w:t>Assumptions for Savings Estimates</w:t>
            </w:r>
          </w:p>
        </w:tc>
        <w:tc>
          <w:tcPr>
            <w:tcW w:w="2780" w:type="dxa"/>
            <w:tcBorders>
              <w:left w:val="single" w:sz="12" w:space="0" w:color="auto"/>
              <w:bottom w:val="double" w:sz="4" w:space="0" w:color="auto"/>
            </w:tcBorders>
            <w:vAlign w:val="center"/>
          </w:tcPr>
          <w:p w14:paraId="282F822C" w14:textId="77777777" w:rsidR="005D30DB" w:rsidRPr="001B05A5" w:rsidRDefault="005D30DB" w:rsidP="00D33A4F">
            <w:pPr>
              <w:keepNext/>
              <w:keepLines/>
              <w:spacing w:after="0"/>
              <w:jc w:val="left"/>
              <w:rPr>
                <w:b/>
                <w:sz w:val="18"/>
                <w:szCs w:val="18"/>
              </w:rPr>
            </w:pPr>
            <w:r>
              <w:rPr>
                <w:b/>
                <w:sz w:val="18"/>
                <w:szCs w:val="18"/>
              </w:rPr>
              <w:t>Suggestions or Example(s) of Implementation Strategies</w:t>
            </w:r>
          </w:p>
        </w:tc>
      </w:tr>
      <w:tr w:rsidR="005D30DB" w:rsidRPr="001B05A5" w14:paraId="15549687" w14:textId="77777777" w:rsidTr="005D30DB">
        <w:trPr>
          <w:cantSplit/>
          <w:jc w:val="center"/>
        </w:trPr>
        <w:tc>
          <w:tcPr>
            <w:tcW w:w="1431" w:type="dxa"/>
            <w:tcBorders>
              <w:top w:val="double" w:sz="4" w:space="0" w:color="auto"/>
              <w:bottom w:val="single" w:sz="4" w:space="0" w:color="auto"/>
            </w:tcBorders>
            <w:vAlign w:val="center"/>
          </w:tcPr>
          <w:p w14:paraId="71947778" w14:textId="77777777" w:rsidR="005D30DB" w:rsidRDefault="005D30DB" w:rsidP="00D33A4F">
            <w:pPr>
              <w:keepNext/>
              <w:keepLines/>
              <w:jc w:val="left"/>
              <w:rPr>
                <w:sz w:val="18"/>
                <w:szCs w:val="18"/>
              </w:rPr>
            </w:pPr>
            <w:r>
              <w:rPr>
                <w:sz w:val="18"/>
                <w:szCs w:val="18"/>
              </w:rPr>
              <w:t>1) Pay-TV Discontinuation</w:t>
            </w:r>
          </w:p>
        </w:tc>
        <w:tc>
          <w:tcPr>
            <w:tcW w:w="1800" w:type="dxa"/>
            <w:tcBorders>
              <w:top w:val="double" w:sz="4" w:space="0" w:color="auto"/>
              <w:bottom w:val="single" w:sz="4" w:space="0" w:color="auto"/>
            </w:tcBorders>
            <w:vAlign w:val="center"/>
          </w:tcPr>
          <w:p w14:paraId="67B82D6E" w14:textId="77777777" w:rsidR="005D30DB" w:rsidRPr="00462B98" w:rsidRDefault="005D30DB" w:rsidP="00D33A4F">
            <w:pPr>
              <w:keepNext/>
              <w:keepLines/>
              <w:spacing w:after="0"/>
              <w:jc w:val="left"/>
              <w:rPr>
                <w:sz w:val="18"/>
                <w:szCs w:val="18"/>
              </w:rPr>
            </w:pPr>
            <w:r w:rsidRPr="00462B98">
              <w:rPr>
                <w:sz w:val="18"/>
                <w:szCs w:val="18"/>
              </w:rPr>
              <w:t>Remove the need for cable and satellite STBs by transitioning households to media streaming devices.</w:t>
            </w:r>
          </w:p>
        </w:tc>
        <w:tc>
          <w:tcPr>
            <w:tcW w:w="1710" w:type="dxa"/>
            <w:tcBorders>
              <w:top w:val="double" w:sz="4" w:space="0" w:color="auto"/>
              <w:bottom w:val="single" w:sz="4" w:space="0" w:color="auto"/>
            </w:tcBorders>
            <w:vAlign w:val="center"/>
          </w:tcPr>
          <w:p w14:paraId="1FB3B219" w14:textId="77777777" w:rsidR="005D30DB" w:rsidRDefault="005D30DB" w:rsidP="00D33A4F">
            <w:pPr>
              <w:keepNext/>
              <w:keepLines/>
              <w:spacing w:after="0"/>
              <w:jc w:val="left"/>
              <w:rPr>
                <w:sz w:val="18"/>
                <w:szCs w:val="18"/>
              </w:rPr>
            </w:pPr>
            <w:r>
              <w:rPr>
                <w:sz w:val="18"/>
                <w:szCs w:val="18"/>
              </w:rPr>
              <w:t>180</w:t>
            </w:r>
            <w:r w:rsidR="00450559">
              <w:rPr>
                <w:sz w:val="18"/>
                <w:szCs w:val="18"/>
              </w:rPr>
              <w:t xml:space="preserve"> </w:t>
            </w:r>
            <w:r>
              <w:rPr>
                <w:sz w:val="18"/>
                <w:szCs w:val="18"/>
              </w:rPr>
              <w:t>kWh/year or 90</w:t>
            </w:r>
            <w:r w:rsidRPr="00F5443F">
              <w:rPr>
                <w:sz w:val="18"/>
                <w:szCs w:val="18"/>
              </w:rPr>
              <w:t xml:space="preserve">% savings in average </w:t>
            </w:r>
            <w:r w:rsidRPr="00F85AF4">
              <w:rPr>
                <w:i/>
                <w:sz w:val="18"/>
                <w:szCs w:val="18"/>
              </w:rPr>
              <w:t>household</w:t>
            </w:r>
            <w:r>
              <w:rPr>
                <w:sz w:val="18"/>
                <w:szCs w:val="18"/>
              </w:rPr>
              <w:t xml:space="preserve"> consumption</w:t>
            </w:r>
          </w:p>
        </w:tc>
        <w:tc>
          <w:tcPr>
            <w:tcW w:w="5220" w:type="dxa"/>
            <w:tcBorders>
              <w:top w:val="double" w:sz="4" w:space="0" w:color="auto"/>
              <w:bottom w:val="single" w:sz="4" w:space="0" w:color="auto"/>
            </w:tcBorders>
            <w:vAlign w:val="center"/>
          </w:tcPr>
          <w:p w14:paraId="4BC43A74" w14:textId="00541298" w:rsidR="005D30DB" w:rsidRDefault="005D30DB" w:rsidP="00450559">
            <w:pPr>
              <w:keepNext/>
              <w:keepLines/>
              <w:spacing w:after="0"/>
              <w:jc w:val="left"/>
              <w:rPr>
                <w:sz w:val="18"/>
                <w:szCs w:val="18"/>
              </w:rPr>
            </w:pPr>
            <w:r>
              <w:rPr>
                <w:sz w:val="18"/>
                <w:szCs w:val="18"/>
              </w:rPr>
              <w:t xml:space="preserve">NEEA estimated that the average </w:t>
            </w:r>
            <w:r w:rsidRPr="00664554">
              <w:rPr>
                <w:i/>
                <w:sz w:val="18"/>
                <w:szCs w:val="18"/>
              </w:rPr>
              <w:t>household</w:t>
            </w:r>
            <w:r>
              <w:rPr>
                <w:sz w:val="18"/>
                <w:szCs w:val="18"/>
              </w:rPr>
              <w:t xml:space="preserve"> energy consumption from cable and satellite STBs is 200</w:t>
            </w:r>
            <w:r w:rsidR="00450559">
              <w:rPr>
                <w:sz w:val="18"/>
                <w:szCs w:val="18"/>
              </w:rPr>
              <w:t xml:space="preserve"> </w:t>
            </w:r>
            <w:r>
              <w:rPr>
                <w:sz w:val="18"/>
                <w:szCs w:val="18"/>
              </w:rPr>
              <w:t>kWh/year</w:t>
            </w:r>
            <w:r w:rsidR="00450559">
              <w:rPr>
                <w:sz w:val="18"/>
                <w:szCs w:val="18"/>
              </w:rPr>
              <w:t>,</w:t>
            </w:r>
            <w:r>
              <w:rPr>
                <w:sz w:val="18"/>
                <w:szCs w:val="18"/>
              </w:rPr>
              <w:t xml:space="preserve"> </w:t>
            </w:r>
            <w:r w:rsidR="00450559">
              <w:rPr>
                <w:sz w:val="18"/>
                <w:szCs w:val="18"/>
              </w:rPr>
              <w:t>w</w:t>
            </w:r>
            <w:r>
              <w:rPr>
                <w:sz w:val="18"/>
                <w:szCs w:val="18"/>
              </w:rPr>
              <w:t xml:space="preserve">hereas two </w:t>
            </w:r>
            <w:r w:rsidRPr="003E1FAE">
              <w:rPr>
                <w:sz w:val="18"/>
                <w:szCs w:val="18"/>
              </w:rPr>
              <w:t>Apple TVs,</w:t>
            </w:r>
            <w:r>
              <w:rPr>
                <w:sz w:val="18"/>
                <w:szCs w:val="18"/>
              </w:rPr>
              <w:t xml:space="preserve"> which could </w:t>
            </w:r>
            <w:r w:rsidR="003135CB">
              <w:rPr>
                <w:sz w:val="18"/>
                <w:szCs w:val="18"/>
              </w:rPr>
              <w:t xml:space="preserve">eventually </w:t>
            </w:r>
            <w:r>
              <w:rPr>
                <w:sz w:val="18"/>
                <w:szCs w:val="18"/>
              </w:rPr>
              <w:t>replace pay-TV service</w:t>
            </w:r>
            <w:r w:rsidR="003135CB">
              <w:rPr>
                <w:sz w:val="18"/>
                <w:szCs w:val="18"/>
              </w:rPr>
              <w:t xml:space="preserve"> as their capabilities </w:t>
            </w:r>
            <w:r w:rsidR="00BC47A3">
              <w:rPr>
                <w:sz w:val="18"/>
                <w:szCs w:val="18"/>
              </w:rPr>
              <w:t xml:space="preserve">continue to </w:t>
            </w:r>
            <w:r w:rsidR="003135CB">
              <w:rPr>
                <w:sz w:val="18"/>
                <w:szCs w:val="18"/>
              </w:rPr>
              <w:t>expand</w:t>
            </w:r>
            <w:r>
              <w:rPr>
                <w:sz w:val="18"/>
                <w:szCs w:val="18"/>
              </w:rPr>
              <w:t xml:space="preserve">, </w:t>
            </w:r>
            <w:r w:rsidR="00450559">
              <w:rPr>
                <w:sz w:val="18"/>
                <w:szCs w:val="18"/>
              </w:rPr>
              <w:t xml:space="preserve">together </w:t>
            </w:r>
            <w:r>
              <w:rPr>
                <w:sz w:val="18"/>
                <w:szCs w:val="18"/>
              </w:rPr>
              <w:t>consume 20</w:t>
            </w:r>
            <w:r w:rsidR="00450559">
              <w:rPr>
                <w:sz w:val="18"/>
                <w:szCs w:val="18"/>
              </w:rPr>
              <w:t xml:space="preserve"> </w:t>
            </w:r>
            <w:r>
              <w:rPr>
                <w:sz w:val="18"/>
                <w:szCs w:val="18"/>
              </w:rPr>
              <w:t>kWh year.*</w:t>
            </w:r>
          </w:p>
        </w:tc>
        <w:tc>
          <w:tcPr>
            <w:tcW w:w="2780" w:type="dxa"/>
            <w:tcBorders>
              <w:top w:val="double" w:sz="4" w:space="0" w:color="auto"/>
              <w:left w:val="single" w:sz="12" w:space="0" w:color="auto"/>
              <w:bottom w:val="single" w:sz="4" w:space="0" w:color="auto"/>
            </w:tcBorders>
            <w:vAlign w:val="center"/>
          </w:tcPr>
          <w:p w14:paraId="42035805" w14:textId="77777777" w:rsidR="005D30DB" w:rsidRPr="001B05A5" w:rsidRDefault="005D30DB" w:rsidP="00D33A4F">
            <w:pPr>
              <w:keepNext/>
              <w:keepLines/>
              <w:spacing w:after="0"/>
              <w:jc w:val="left"/>
              <w:rPr>
                <w:sz w:val="18"/>
                <w:szCs w:val="18"/>
              </w:rPr>
            </w:pPr>
            <w:r>
              <w:rPr>
                <w:sz w:val="18"/>
                <w:szCs w:val="18"/>
              </w:rPr>
              <w:t>Consumer education campaign; midstream and downstream incentives for purchasing/selling media streaming devices; STB recycling program</w:t>
            </w:r>
          </w:p>
        </w:tc>
      </w:tr>
      <w:tr w:rsidR="005D30DB" w:rsidRPr="001B05A5" w14:paraId="3240F595" w14:textId="77777777" w:rsidTr="005D30DB">
        <w:trPr>
          <w:cantSplit/>
          <w:jc w:val="center"/>
        </w:trPr>
        <w:tc>
          <w:tcPr>
            <w:tcW w:w="1431" w:type="dxa"/>
            <w:tcBorders>
              <w:top w:val="single" w:sz="4" w:space="0" w:color="auto"/>
              <w:bottom w:val="single" w:sz="4" w:space="0" w:color="auto"/>
            </w:tcBorders>
            <w:vAlign w:val="center"/>
          </w:tcPr>
          <w:p w14:paraId="691F834B" w14:textId="77777777" w:rsidR="005D30DB" w:rsidRPr="001B05A5" w:rsidRDefault="005D30DB" w:rsidP="00D33A4F">
            <w:pPr>
              <w:keepNext/>
              <w:keepLines/>
              <w:spacing w:after="0"/>
              <w:jc w:val="left"/>
              <w:rPr>
                <w:sz w:val="18"/>
                <w:szCs w:val="18"/>
              </w:rPr>
            </w:pPr>
            <w:r>
              <w:rPr>
                <w:sz w:val="18"/>
                <w:szCs w:val="18"/>
              </w:rPr>
              <w:t>2) Multi-Room STB Replacement</w:t>
            </w:r>
          </w:p>
        </w:tc>
        <w:tc>
          <w:tcPr>
            <w:tcW w:w="1800" w:type="dxa"/>
            <w:tcBorders>
              <w:top w:val="single" w:sz="4" w:space="0" w:color="auto"/>
              <w:bottom w:val="single" w:sz="4" w:space="0" w:color="auto"/>
            </w:tcBorders>
            <w:vAlign w:val="center"/>
          </w:tcPr>
          <w:p w14:paraId="78FCD4AC" w14:textId="77777777" w:rsidR="005D30DB" w:rsidRPr="00462B98" w:rsidRDefault="005D30DB" w:rsidP="00D33A4F">
            <w:pPr>
              <w:keepNext/>
              <w:keepLines/>
              <w:spacing w:after="0"/>
              <w:jc w:val="left"/>
              <w:rPr>
                <w:sz w:val="18"/>
                <w:szCs w:val="18"/>
              </w:rPr>
            </w:pPr>
            <w:r w:rsidRPr="00462B98">
              <w:rPr>
                <w:sz w:val="18"/>
                <w:szCs w:val="18"/>
              </w:rPr>
              <w:t>Replace secondary/additional STB units with low-power thin-client boxes.</w:t>
            </w:r>
          </w:p>
        </w:tc>
        <w:tc>
          <w:tcPr>
            <w:tcW w:w="1710" w:type="dxa"/>
            <w:tcBorders>
              <w:top w:val="single" w:sz="4" w:space="0" w:color="auto"/>
              <w:bottom w:val="single" w:sz="4" w:space="0" w:color="auto"/>
            </w:tcBorders>
            <w:vAlign w:val="center"/>
          </w:tcPr>
          <w:p w14:paraId="1677B110" w14:textId="77777777" w:rsidR="005D30DB" w:rsidRPr="001B05A5" w:rsidRDefault="005D30DB" w:rsidP="00D33A4F">
            <w:pPr>
              <w:keepNext/>
              <w:keepLines/>
              <w:spacing w:after="0"/>
              <w:jc w:val="left"/>
              <w:rPr>
                <w:sz w:val="18"/>
                <w:szCs w:val="18"/>
              </w:rPr>
            </w:pPr>
            <w:r>
              <w:rPr>
                <w:sz w:val="18"/>
                <w:szCs w:val="18"/>
              </w:rPr>
              <w:t>64</w:t>
            </w:r>
            <w:r w:rsidR="00450559">
              <w:rPr>
                <w:sz w:val="18"/>
                <w:szCs w:val="18"/>
              </w:rPr>
              <w:t xml:space="preserve"> </w:t>
            </w:r>
            <w:r w:rsidRPr="00F5443F">
              <w:rPr>
                <w:sz w:val="18"/>
                <w:szCs w:val="18"/>
              </w:rPr>
              <w:t>kWh</w:t>
            </w:r>
            <w:r>
              <w:rPr>
                <w:sz w:val="18"/>
                <w:szCs w:val="18"/>
              </w:rPr>
              <w:t>/year</w:t>
            </w:r>
            <w:r w:rsidRPr="00F5443F">
              <w:rPr>
                <w:sz w:val="18"/>
                <w:szCs w:val="18"/>
              </w:rPr>
              <w:t xml:space="preserve"> or </w:t>
            </w:r>
            <w:r>
              <w:rPr>
                <w:sz w:val="18"/>
                <w:szCs w:val="18"/>
              </w:rPr>
              <w:t>52</w:t>
            </w:r>
            <w:r w:rsidRPr="00F5443F">
              <w:rPr>
                <w:sz w:val="18"/>
                <w:szCs w:val="18"/>
              </w:rPr>
              <w:t xml:space="preserve">% savings in average UEC of </w:t>
            </w:r>
            <w:r>
              <w:rPr>
                <w:i/>
                <w:sz w:val="18"/>
                <w:szCs w:val="18"/>
              </w:rPr>
              <w:t>replaced</w:t>
            </w:r>
            <w:r w:rsidRPr="00F5443F">
              <w:rPr>
                <w:sz w:val="18"/>
                <w:szCs w:val="18"/>
              </w:rPr>
              <w:t xml:space="preserve"> units</w:t>
            </w:r>
          </w:p>
        </w:tc>
        <w:tc>
          <w:tcPr>
            <w:tcW w:w="5220" w:type="dxa"/>
            <w:tcBorders>
              <w:top w:val="single" w:sz="4" w:space="0" w:color="auto"/>
              <w:bottom w:val="single" w:sz="4" w:space="0" w:color="auto"/>
            </w:tcBorders>
            <w:vAlign w:val="center"/>
          </w:tcPr>
          <w:p w14:paraId="08D07FEB" w14:textId="77777777" w:rsidR="005D30DB" w:rsidRPr="001B05A5" w:rsidRDefault="005D30DB" w:rsidP="00D33A4F">
            <w:pPr>
              <w:keepNext/>
              <w:keepLines/>
              <w:spacing w:after="0"/>
              <w:jc w:val="left"/>
              <w:rPr>
                <w:sz w:val="18"/>
                <w:szCs w:val="18"/>
              </w:rPr>
            </w:pPr>
            <w:r>
              <w:rPr>
                <w:sz w:val="18"/>
                <w:szCs w:val="18"/>
              </w:rPr>
              <w:t xml:space="preserve">NEEA estimated </w:t>
            </w:r>
            <w:r w:rsidRPr="00A609ED">
              <w:rPr>
                <w:sz w:val="18"/>
                <w:szCs w:val="18"/>
              </w:rPr>
              <w:t>that high definition (HD</w:t>
            </w:r>
            <w:r w:rsidRPr="00D33CDC">
              <w:rPr>
                <w:sz w:val="18"/>
                <w:szCs w:val="18"/>
              </w:rPr>
              <w:t>)</w:t>
            </w:r>
            <w:r w:rsidRPr="00D33CDC">
              <w:rPr>
                <w:rStyle w:val="FootnoteReference"/>
                <w:sz w:val="18"/>
                <w:szCs w:val="18"/>
                <w:vertAlign w:val="baseline"/>
              </w:rPr>
              <w:t>*</w:t>
            </w:r>
            <w:r w:rsidRPr="00D33CDC">
              <w:rPr>
                <w:sz w:val="18"/>
                <w:szCs w:val="18"/>
              </w:rPr>
              <w:t xml:space="preserve">* </w:t>
            </w:r>
            <w:r w:rsidRPr="00A609ED">
              <w:rPr>
                <w:sz w:val="18"/>
                <w:szCs w:val="18"/>
              </w:rPr>
              <w:t>STB</w:t>
            </w:r>
            <w:r>
              <w:rPr>
                <w:sz w:val="18"/>
                <w:szCs w:val="18"/>
              </w:rPr>
              <w:t xml:space="preserve"> UEC is 124</w:t>
            </w:r>
            <w:r w:rsidR="00450559">
              <w:rPr>
                <w:sz w:val="18"/>
                <w:szCs w:val="18"/>
              </w:rPr>
              <w:t xml:space="preserve"> </w:t>
            </w:r>
            <w:r>
              <w:rPr>
                <w:sz w:val="18"/>
                <w:szCs w:val="18"/>
              </w:rPr>
              <w:t>kWh/year and thin-client UEC is 60</w:t>
            </w:r>
            <w:r w:rsidR="00450559">
              <w:rPr>
                <w:sz w:val="18"/>
                <w:szCs w:val="18"/>
              </w:rPr>
              <w:t xml:space="preserve"> </w:t>
            </w:r>
            <w:r>
              <w:rPr>
                <w:sz w:val="18"/>
                <w:szCs w:val="18"/>
              </w:rPr>
              <w:t>kWh/year.</w:t>
            </w:r>
          </w:p>
        </w:tc>
        <w:tc>
          <w:tcPr>
            <w:tcW w:w="2780" w:type="dxa"/>
            <w:tcBorders>
              <w:top w:val="single" w:sz="4" w:space="0" w:color="auto"/>
              <w:left w:val="single" w:sz="12" w:space="0" w:color="auto"/>
              <w:bottom w:val="single" w:sz="4" w:space="0" w:color="auto"/>
            </w:tcBorders>
            <w:vAlign w:val="center"/>
          </w:tcPr>
          <w:p w14:paraId="41C80A53" w14:textId="77777777" w:rsidR="005D30DB" w:rsidRPr="001B05A5" w:rsidRDefault="005D30DB" w:rsidP="00D33A4F">
            <w:pPr>
              <w:keepNext/>
              <w:keepLines/>
              <w:spacing w:after="0"/>
              <w:jc w:val="left"/>
              <w:rPr>
                <w:sz w:val="18"/>
                <w:szCs w:val="18"/>
              </w:rPr>
            </w:pPr>
            <w:r>
              <w:rPr>
                <w:sz w:val="18"/>
                <w:szCs w:val="18"/>
              </w:rPr>
              <w:t>Midstream and downstream incentives for purchasing/</w:t>
            </w:r>
            <w:r w:rsidR="00450559">
              <w:rPr>
                <w:sz w:val="18"/>
                <w:szCs w:val="18"/>
              </w:rPr>
              <w:t xml:space="preserve"> </w:t>
            </w:r>
            <w:r>
              <w:rPr>
                <w:sz w:val="18"/>
                <w:szCs w:val="18"/>
              </w:rPr>
              <w:t>selling/deploying low-power thin-client boxes; STB recycling program</w:t>
            </w:r>
          </w:p>
        </w:tc>
      </w:tr>
      <w:tr w:rsidR="005D30DB" w:rsidRPr="001B05A5" w14:paraId="41DF1CBF" w14:textId="77777777" w:rsidTr="00462B98">
        <w:trPr>
          <w:cantSplit/>
          <w:jc w:val="center"/>
        </w:trPr>
        <w:tc>
          <w:tcPr>
            <w:tcW w:w="1431" w:type="dxa"/>
            <w:tcBorders>
              <w:top w:val="single" w:sz="4" w:space="0" w:color="auto"/>
              <w:bottom w:val="single" w:sz="4" w:space="0" w:color="auto"/>
            </w:tcBorders>
            <w:vAlign w:val="center"/>
          </w:tcPr>
          <w:p w14:paraId="011A3065" w14:textId="77777777" w:rsidR="005D30DB" w:rsidRPr="001B05A5" w:rsidRDefault="005D30DB" w:rsidP="00D33A4F">
            <w:pPr>
              <w:keepNext/>
              <w:keepLines/>
              <w:spacing w:after="0"/>
              <w:jc w:val="left"/>
              <w:rPr>
                <w:sz w:val="18"/>
                <w:szCs w:val="18"/>
              </w:rPr>
            </w:pPr>
            <w:r>
              <w:rPr>
                <w:sz w:val="18"/>
                <w:szCs w:val="18"/>
              </w:rPr>
              <w:t>3) Labeled Models</w:t>
            </w:r>
          </w:p>
        </w:tc>
        <w:tc>
          <w:tcPr>
            <w:tcW w:w="1800" w:type="dxa"/>
            <w:tcBorders>
              <w:top w:val="single" w:sz="4" w:space="0" w:color="auto"/>
              <w:bottom w:val="single" w:sz="4" w:space="0" w:color="auto"/>
            </w:tcBorders>
            <w:vAlign w:val="center"/>
          </w:tcPr>
          <w:p w14:paraId="64BF4F4E" w14:textId="77777777" w:rsidR="005D30DB" w:rsidRPr="00462B98" w:rsidRDefault="005D30DB" w:rsidP="00D33A4F">
            <w:pPr>
              <w:keepNext/>
              <w:keepLines/>
              <w:spacing w:after="0"/>
              <w:jc w:val="left"/>
              <w:rPr>
                <w:sz w:val="18"/>
                <w:szCs w:val="18"/>
              </w:rPr>
            </w:pPr>
            <w:r w:rsidRPr="00462B98">
              <w:rPr>
                <w:sz w:val="18"/>
                <w:szCs w:val="18"/>
              </w:rPr>
              <w:t>Purchase STB models meeting ENERGY STAR specifications or percentages above those specifications.</w:t>
            </w:r>
          </w:p>
        </w:tc>
        <w:tc>
          <w:tcPr>
            <w:tcW w:w="1710" w:type="dxa"/>
            <w:tcBorders>
              <w:top w:val="single" w:sz="4" w:space="0" w:color="auto"/>
              <w:bottom w:val="single" w:sz="4" w:space="0" w:color="auto"/>
            </w:tcBorders>
            <w:vAlign w:val="center"/>
          </w:tcPr>
          <w:p w14:paraId="1A526185" w14:textId="77777777" w:rsidR="005D30DB" w:rsidRPr="001B05A5" w:rsidRDefault="005D30DB" w:rsidP="00D33A4F">
            <w:pPr>
              <w:keepNext/>
              <w:keepLines/>
              <w:spacing w:after="0"/>
              <w:jc w:val="left"/>
              <w:rPr>
                <w:sz w:val="18"/>
                <w:szCs w:val="18"/>
              </w:rPr>
            </w:pPr>
            <w:r>
              <w:rPr>
                <w:sz w:val="18"/>
                <w:szCs w:val="18"/>
              </w:rPr>
              <w:t>54</w:t>
            </w:r>
            <w:r w:rsidR="00450559">
              <w:rPr>
                <w:sz w:val="18"/>
                <w:szCs w:val="18"/>
              </w:rPr>
              <w:t xml:space="preserve"> </w:t>
            </w:r>
            <w:r>
              <w:rPr>
                <w:sz w:val="18"/>
                <w:szCs w:val="18"/>
              </w:rPr>
              <w:t xml:space="preserve">kWh/year or 45% savings in average UEC of </w:t>
            </w:r>
            <w:r w:rsidRPr="00F85AF4">
              <w:rPr>
                <w:i/>
                <w:sz w:val="18"/>
                <w:szCs w:val="18"/>
              </w:rPr>
              <w:t>new</w:t>
            </w:r>
            <w:r>
              <w:rPr>
                <w:sz w:val="18"/>
                <w:szCs w:val="18"/>
              </w:rPr>
              <w:t xml:space="preserve"> units</w:t>
            </w:r>
          </w:p>
        </w:tc>
        <w:tc>
          <w:tcPr>
            <w:tcW w:w="5220" w:type="dxa"/>
            <w:tcBorders>
              <w:top w:val="single" w:sz="4" w:space="0" w:color="auto"/>
              <w:bottom w:val="single" w:sz="4" w:space="0" w:color="auto"/>
            </w:tcBorders>
            <w:vAlign w:val="center"/>
          </w:tcPr>
          <w:p w14:paraId="6573E5C2" w14:textId="77777777" w:rsidR="005D30DB" w:rsidRDefault="005D30DB" w:rsidP="00D33A4F">
            <w:pPr>
              <w:keepNext/>
              <w:keepLines/>
              <w:spacing w:after="0"/>
              <w:jc w:val="left"/>
              <w:rPr>
                <w:sz w:val="18"/>
                <w:szCs w:val="18"/>
              </w:rPr>
            </w:pPr>
            <w:r>
              <w:rPr>
                <w:sz w:val="18"/>
                <w:szCs w:val="18"/>
              </w:rPr>
              <w:t>-ENERGY STAR published that ENERGY STAR models represent a 45% savings over standard models.</w:t>
            </w:r>
          </w:p>
          <w:p w14:paraId="2A423764" w14:textId="77777777" w:rsidR="005D30DB" w:rsidRDefault="005D30DB" w:rsidP="00D33A4F">
            <w:pPr>
              <w:keepNext/>
              <w:keepLines/>
              <w:spacing w:after="0"/>
              <w:jc w:val="left"/>
              <w:rPr>
                <w:sz w:val="18"/>
                <w:szCs w:val="18"/>
              </w:rPr>
            </w:pPr>
          </w:p>
          <w:p w14:paraId="4953D118" w14:textId="77777777" w:rsidR="005D30DB" w:rsidRPr="00BE7121" w:rsidRDefault="005D30DB" w:rsidP="00D33A4F">
            <w:pPr>
              <w:keepNext/>
              <w:keepLines/>
              <w:spacing w:after="0"/>
              <w:jc w:val="left"/>
              <w:rPr>
                <w:sz w:val="18"/>
                <w:szCs w:val="18"/>
              </w:rPr>
            </w:pPr>
            <w:r>
              <w:rPr>
                <w:sz w:val="18"/>
                <w:szCs w:val="18"/>
              </w:rPr>
              <w:t>-The Connecticut Program Savings Document indicated that ENERGY STAR STBs represent 54</w:t>
            </w:r>
            <w:r w:rsidR="00450559">
              <w:rPr>
                <w:sz w:val="18"/>
                <w:szCs w:val="18"/>
              </w:rPr>
              <w:t xml:space="preserve"> </w:t>
            </w:r>
            <w:r>
              <w:rPr>
                <w:sz w:val="18"/>
                <w:szCs w:val="18"/>
              </w:rPr>
              <w:t>kWh/year UEC savings over standard models.</w:t>
            </w:r>
          </w:p>
        </w:tc>
        <w:tc>
          <w:tcPr>
            <w:tcW w:w="2780" w:type="dxa"/>
            <w:tcBorders>
              <w:top w:val="single" w:sz="4" w:space="0" w:color="auto"/>
              <w:left w:val="single" w:sz="12" w:space="0" w:color="auto"/>
              <w:bottom w:val="single" w:sz="4" w:space="0" w:color="auto"/>
            </w:tcBorders>
            <w:vAlign w:val="center"/>
          </w:tcPr>
          <w:p w14:paraId="2F89506C" w14:textId="77777777" w:rsidR="005D30DB" w:rsidRPr="001B05A5" w:rsidRDefault="005D30DB" w:rsidP="00D33A4F">
            <w:pPr>
              <w:keepNext/>
              <w:keepLines/>
              <w:spacing w:after="0"/>
              <w:jc w:val="left"/>
              <w:rPr>
                <w:sz w:val="18"/>
                <w:szCs w:val="18"/>
              </w:rPr>
            </w:pPr>
            <w:r>
              <w:rPr>
                <w:sz w:val="18"/>
                <w:szCs w:val="18"/>
              </w:rPr>
              <w:t>Midstream and downstream incentives for purchase/</w:t>
            </w:r>
            <w:r w:rsidR="00450559">
              <w:rPr>
                <w:sz w:val="18"/>
                <w:szCs w:val="18"/>
              </w:rPr>
              <w:t xml:space="preserve"> </w:t>
            </w:r>
            <w:r>
              <w:rPr>
                <w:sz w:val="18"/>
                <w:szCs w:val="18"/>
              </w:rPr>
              <w:t>sale/deployment of STB models meeting ENERGY STAR specifications or percentages above those specifications</w:t>
            </w:r>
          </w:p>
        </w:tc>
      </w:tr>
      <w:tr w:rsidR="005D30DB" w:rsidRPr="001B05A5" w14:paraId="1A226616" w14:textId="77777777" w:rsidTr="00462B98">
        <w:trPr>
          <w:cantSplit/>
          <w:jc w:val="center"/>
        </w:trPr>
        <w:tc>
          <w:tcPr>
            <w:tcW w:w="1431" w:type="dxa"/>
            <w:tcBorders>
              <w:top w:val="single" w:sz="4" w:space="0" w:color="auto"/>
              <w:bottom w:val="single" w:sz="12" w:space="0" w:color="auto"/>
            </w:tcBorders>
            <w:shd w:val="pct10" w:color="auto" w:fill="auto"/>
            <w:vAlign w:val="center"/>
          </w:tcPr>
          <w:p w14:paraId="275E993D" w14:textId="77777777" w:rsidR="005D30DB" w:rsidRPr="002360CC" w:rsidRDefault="005D30DB" w:rsidP="00D33A4F">
            <w:pPr>
              <w:keepNext/>
              <w:keepLines/>
              <w:jc w:val="left"/>
              <w:rPr>
                <w:sz w:val="18"/>
                <w:szCs w:val="18"/>
              </w:rPr>
            </w:pPr>
            <w:r>
              <w:rPr>
                <w:sz w:val="18"/>
                <w:szCs w:val="18"/>
              </w:rPr>
              <w:t>4) Incorporation of “Light Sleep” Mode</w:t>
            </w:r>
          </w:p>
        </w:tc>
        <w:tc>
          <w:tcPr>
            <w:tcW w:w="1800" w:type="dxa"/>
            <w:tcBorders>
              <w:top w:val="single" w:sz="4" w:space="0" w:color="auto"/>
              <w:bottom w:val="single" w:sz="12" w:space="0" w:color="auto"/>
            </w:tcBorders>
            <w:shd w:val="pct10" w:color="auto" w:fill="auto"/>
            <w:vAlign w:val="center"/>
          </w:tcPr>
          <w:p w14:paraId="7329886E" w14:textId="77777777" w:rsidR="005D30DB" w:rsidRPr="001B05A5" w:rsidRDefault="005D30DB" w:rsidP="00D33A4F">
            <w:pPr>
              <w:keepNext/>
              <w:keepLines/>
              <w:spacing w:after="0"/>
              <w:jc w:val="left"/>
              <w:rPr>
                <w:sz w:val="18"/>
                <w:szCs w:val="18"/>
              </w:rPr>
            </w:pPr>
            <w:r>
              <w:rPr>
                <w:sz w:val="18"/>
                <w:szCs w:val="18"/>
              </w:rPr>
              <w:t>Reduce power level in sleep mode through</w:t>
            </w:r>
            <w:r w:rsidR="0030067B">
              <w:rPr>
                <w:sz w:val="18"/>
                <w:szCs w:val="18"/>
              </w:rPr>
              <w:t xml:space="preserve"> a</w:t>
            </w:r>
            <w:r>
              <w:rPr>
                <w:sz w:val="18"/>
                <w:szCs w:val="18"/>
              </w:rPr>
              <w:t xml:space="preserve"> light sleep mode.</w:t>
            </w:r>
          </w:p>
        </w:tc>
        <w:tc>
          <w:tcPr>
            <w:tcW w:w="1710" w:type="dxa"/>
            <w:tcBorders>
              <w:top w:val="single" w:sz="4" w:space="0" w:color="auto"/>
              <w:bottom w:val="single" w:sz="12" w:space="0" w:color="auto"/>
            </w:tcBorders>
            <w:shd w:val="pct10" w:color="auto" w:fill="auto"/>
            <w:vAlign w:val="center"/>
          </w:tcPr>
          <w:p w14:paraId="1B63EAE9" w14:textId="77777777" w:rsidR="005D30DB" w:rsidRPr="001B05A5" w:rsidRDefault="005D30DB" w:rsidP="00D33A4F">
            <w:pPr>
              <w:keepNext/>
              <w:keepLines/>
              <w:spacing w:after="0"/>
              <w:jc w:val="left"/>
              <w:rPr>
                <w:sz w:val="18"/>
                <w:szCs w:val="18"/>
              </w:rPr>
            </w:pPr>
            <w:r>
              <w:rPr>
                <w:sz w:val="18"/>
                <w:szCs w:val="18"/>
              </w:rPr>
              <w:t>More than 25</w:t>
            </w:r>
            <w:r w:rsidR="008D1309">
              <w:rPr>
                <w:sz w:val="18"/>
                <w:szCs w:val="18"/>
              </w:rPr>
              <w:t xml:space="preserve"> </w:t>
            </w:r>
            <w:r>
              <w:rPr>
                <w:sz w:val="18"/>
                <w:szCs w:val="18"/>
              </w:rPr>
              <w:t>kWh/year or 20% savings in average installed HD STB UEC</w:t>
            </w:r>
          </w:p>
        </w:tc>
        <w:tc>
          <w:tcPr>
            <w:tcW w:w="5220" w:type="dxa"/>
            <w:tcBorders>
              <w:top w:val="single" w:sz="4" w:space="0" w:color="auto"/>
              <w:bottom w:val="single" w:sz="12" w:space="0" w:color="auto"/>
            </w:tcBorders>
            <w:shd w:val="pct10" w:color="auto" w:fill="auto"/>
            <w:vAlign w:val="center"/>
          </w:tcPr>
          <w:p w14:paraId="6337A55D" w14:textId="77777777" w:rsidR="005D30DB" w:rsidRDefault="005D30DB" w:rsidP="00D33A4F">
            <w:pPr>
              <w:keepNext/>
              <w:keepLines/>
              <w:spacing w:after="0"/>
              <w:jc w:val="left"/>
              <w:rPr>
                <w:sz w:val="18"/>
                <w:szCs w:val="18"/>
              </w:rPr>
            </w:pPr>
            <w:r>
              <w:rPr>
                <w:sz w:val="18"/>
                <w:szCs w:val="18"/>
              </w:rPr>
              <w:t>-NCTA reported that downloading light sleep software on STBs that do not already have the feature increases savings by more than 20%.</w:t>
            </w:r>
          </w:p>
          <w:p w14:paraId="68CFCDE1" w14:textId="77777777" w:rsidR="005D30DB" w:rsidRDefault="005D30DB" w:rsidP="00D33A4F">
            <w:pPr>
              <w:keepNext/>
              <w:keepLines/>
              <w:spacing w:after="0"/>
              <w:jc w:val="left"/>
              <w:rPr>
                <w:sz w:val="18"/>
                <w:szCs w:val="18"/>
              </w:rPr>
            </w:pPr>
          </w:p>
          <w:p w14:paraId="071A1C90" w14:textId="77777777" w:rsidR="005D30DB" w:rsidRDefault="005D30DB" w:rsidP="00D33A4F">
            <w:pPr>
              <w:keepNext/>
              <w:keepLines/>
              <w:spacing w:after="0"/>
              <w:jc w:val="left"/>
              <w:rPr>
                <w:sz w:val="18"/>
                <w:szCs w:val="18"/>
              </w:rPr>
            </w:pPr>
            <w:r>
              <w:rPr>
                <w:sz w:val="18"/>
                <w:szCs w:val="18"/>
              </w:rPr>
              <w:t>-NEEA estimated that HD STB UEC is 124</w:t>
            </w:r>
            <w:r w:rsidR="008D1309">
              <w:rPr>
                <w:sz w:val="18"/>
                <w:szCs w:val="18"/>
              </w:rPr>
              <w:t xml:space="preserve"> </w:t>
            </w:r>
            <w:r>
              <w:rPr>
                <w:sz w:val="18"/>
                <w:szCs w:val="18"/>
              </w:rPr>
              <w:t>kWh/year.</w:t>
            </w:r>
          </w:p>
          <w:p w14:paraId="0FC68267" w14:textId="77777777" w:rsidR="005D30DB" w:rsidRDefault="005D30DB" w:rsidP="00D33A4F">
            <w:pPr>
              <w:keepNext/>
              <w:keepLines/>
              <w:spacing w:after="0"/>
              <w:jc w:val="left"/>
              <w:rPr>
                <w:sz w:val="18"/>
                <w:szCs w:val="18"/>
              </w:rPr>
            </w:pPr>
          </w:p>
          <w:p w14:paraId="4D8564D6" w14:textId="77777777" w:rsidR="005D30DB" w:rsidRPr="001B05A5" w:rsidRDefault="005D30DB" w:rsidP="00D33A4F">
            <w:pPr>
              <w:keepNext/>
              <w:keepLines/>
              <w:spacing w:after="0"/>
              <w:jc w:val="left"/>
              <w:rPr>
                <w:sz w:val="18"/>
                <w:szCs w:val="18"/>
              </w:rPr>
            </w:pPr>
            <w:r>
              <w:rPr>
                <w:sz w:val="18"/>
                <w:szCs w:val="18"/>
              </w:rPr>
              <w:t>-For the purposes of analysis, NMR assumed that the average HD STB does not have a light sleep mode feature and applied a figure of 20% savings to estimate 25</w:t>
            </w:r>
            <w:r w:rsidR="008D1309">
              <w:rPr>
                <w:sz w:val="18"/>
                <w:szCs w:val="18"/>
              </w:rPr>
              <w:t xml:space="preserve"> </w:t>
            </w:r>
            <w:r>
              <w:rPr>
                <w:sz w:val="18"/>
                <w:szCs w:val="18"/>
              </w:rPr>
              <w:t>kWh of possible savings.</w:t>
            </w:r>
          </w:p>
        </w:tc>
        <w:tc>
          <w:tcPr>
            <w:tcW w:w="2780" w:type="dxa"/>
            <w:tcBorders>
              <w:top w:val="single" w:sz="4" w:space="0" w:color="auto"/>
              <w:left w:val="single" w:sz="12" w:space="0" w:color="auto"/>
              <w:bottom w:val="single" w:sz="12" w:space="0" w:color="auto"/>
            </w:tcBorders>
            <w:shd w:val="pct10" w:color="auto" w:fill="auto"/>
            <w:vAlign w:val="center"/>
          </w:tcPr>
          <w:p w14:paraId="117A4128" w14:textId="77777777" w:rsidR="005D30DB" w:rsidRPr="001B05A5" w:rsidRDefault="005D30DB" w:rsidP="00D33A4F">
            <w:pPr>
              <w:keepNext/>
              <w:keepLines/>
              <w:spacing w:after="0"/>
              <w:jc w:val="left"/>
              <w:rPr>
                <w:sz w:val="18"/>
                <w:szCs w:val="18"/>
              </w:rPr>
            </w:pPr>
            <w:r>
              <w:rPr>
                <w:sz w:val="18"/>
                <w:szCs w:val="18"/>
              </w:rPr>
              <w:t xml:space="preserve">Upstream incentives; partnership with </w:t>
            </w:r>
            <w:r w:rsidR="0030067B">
              <w:rPr>
                <w:sz w:val="18"/>
                <w:szCs w:val="18"/>
              </w:rPr>
              <w:t xml:space="preserve">media service providers, </w:t>
            </w:r>
            <w:r>
              <w:rPr>
                <w:sz w:val="18"/>
                <w:szCs w:val="18"/>
              </w:rPr>
              <w:t>policymakers, specification and standard setting entities, and manufacturers (non-incentive based)</w:t>
            </w:r>
          </w:p>
        </w:tc>
      </w:tr>
    </w:tbl>
    <w:p w14:paraId="34B32991" w14:textId="77777777" w:rsidR="00C46CE1" w:rsidRDefault="00C46CE1" w:rsidP="00F537F1">
      <w:pPr>
        <w:keepNext/>
        <w:keepLines/>
        <w:spacing w:after="40" w:line="240" w:lineRule="auto"/>
        <w:jc w:val="left"/>
        <w:rPr>
          <w:sz w:val="20"/>
          <w:szCs w:val="20"/>
        </w:rPr>
      </w:pPr>
      <w:r w:rsidRPr="00EB1DCF">
        <w:rPr>
          <w:i/>
          <w:sz w:val="20"/>
          <w:szCs w:val="20"/>
        </w:rPr>
        <w:t>Source</w:t>
      </w:r>
      <w:r w:rsidR="004A339B" w:rsidRPr="00EB1DCF">
        <w:rPr>
          <w:i/>
          <w:sz w:val="20"/>
          <w:szCs w:val="20"/>
        </w:rPr>
        <w:t>s</w:t>
      </w:r>
      <w:r w:rsidRPr="00EB1DCF">
        <w:rPr>
          <w:sz w:val="20"/>
          <w:szCs w:val="20"/>
        </w:rPr>
        <w:t xml:space="preserve">: </w:t>
      </w:r>
      <w:r w:rsidR="004A339B" w:rsidRPr="00EB1DCF">
        <w:rPr>
          <w:sz w:val="20"/>
          <w:szCs w:val="20"/>
        </w:rPr>
        <w:t xml:space="preserve">1) </w:t>
      </w:r>
      <w:r w:rsidRPr="00EB1DCF">
        <w:rPr>
          <w:sz w:val="20"/>
          <w:szCs w:val="20"/>
        </w:rPr>
        <w:t xml:space="preserve">NEEA. “Energy </w:t>
      </w:r>
      <w:r w:rsidRPr="00291759">
        <w:rPr>
          <w:sz w:val="20"/>
          <w:szCs w:val="20"/>
        </w:rPr>
        <w:t>Savings Opportunities and Market Descriptions for Four</w:t>
      </w:r>
      <w:r w:rsidRPr="00EB1DCF">
        <w:rPr>
          <w:sz w:val="20"/>
          <w:szCs w:val="20"/>
        </w:rPr>
        <w:t xml:space="preserve"> Residential Consumer Electronics Products: NEEA Media Savings Calculation Tool.” Spreadsheet. September 2012. Accessed June 10, 2014. </w:t>
      </w:r>
      <w:hyperlink r:id="rId35" w:history="1">
        <w:r w:rsidRPr="00EB1DCF">
          <w:rPr>
            <w:rStyle w:val="Hyperlink"/>
            <w:sz w:val="20"/>
            <w:szCs w:val="20"/>
          </w:rPr>
          <w:t>http://neea.org/resource-center/market-research-and-evaluation-reports?topic=532330ab-8fe1-4a25-bfe7-ad8cc53f2e28&amp;sort=PublicationDate+DESC</w:t>
        </w:r>
      </w:hyperlink>
      <w:r w:rsidR="004A339B" w:rsidRPr="00EB1DCF">
        <w:rPr>
          <w:sz w:val="20"/>
          <w:szCs w:val="20"/>
        </w:rPr>
        <w:t xml:space="preserve"> 2) ENERGY STAR. “Set-top Boxes &amp; Cable Boxes for Consumers.” Accessed August 4, 2014. </w:t>
      </w:r>
      <w:hyperlink r:id="rId36" w:history="1">
        <w:r w:rsidR="004A339B" w:rsidRPr="00EB1DCF">
          <w:rPr>
            <w:rStyle w:val="Hyperlink"/>
            <w:sz w:val="20"/>
            <w:szCs w:val="20"/>
          </w:rPr>
          <w:t>http://www.energystar.gov/certified-products/detail/set_top_boxes_cable_boxes</w:t>
        </w:r>
      </w:hyperlink>
      <w:r w:rsidR="00EB1DCF" w:rsidRPr="00EB1DCF">
        <w:rPr>
          <w:sz w:val="20"/>
          <w:szCs w:val="20"/>
        </w:rPr>
        <w:t xml:space="preserve"> 3) </w:t>
      </w:r>
      <w:r w:rsidR="00AA5923">
        <w:rPr>
          <w:sz w:val="20"/>
          <w:szCs w:val="20"/>
        </w:rPr>
        <w:t>UI and CL&amp;P. “Connecticut Program Savings Document: 9</w:t>
      </w:r>
      <w:r w:rsidR="00AA5923" w:rsidRPr="00C42927">
        <w:rPr>
          <w:sz w:val="20"/>
          <w:szCs w:val="20"/>
          <w:vertAlign w:val="superscript"/>
        </w:rPr>
        <w:t>th</w:t>
      </w:r>
      <w:r w:rsidR="00052CAB">
        <w:rPr>
          <w:sz w:val="20"/>
          <w:szCs w:val="20"/>
        </w:rPr>
        <w:t xml:space="preserve"> Edition for 2014 Program Year</w:t>
      </w:r>
      <w:r w:rsidR="00DC65F4">
        <w:rPr>
          <w:sz w:val="20"/>
          <w:szCs w:val="20"/>
        </w:rPr>
        <w:t>.</w:t>
      </w:r>
      <w:r w:rsidR="00AA5923">
        <w:rPr>
          <w:sz w:val="20"/>
          <w:szCs w:val="20"/>
        </w:rPr>
        <w:t>”</w:t>
      </w:r>
      <w:r w:rsidR="00052CAB">
        <w:rPr>
          <w:sz w:val="20"/>
          <w:szCs w:val="20"/>
        </w:rPr>
        <w:t xml:space="preserve"> </w:t>
      </w:r>
    </w:p>
    <w:p w14:paraId="584E75C4" w14:textId="77777777" w:rsidR="00195F39" w:rsidRPr="00D33CDC" w:rsidRDefault="00195F39" w:rsidP="00F537F1">
      <w:pPr>
        <w:keepNext/>
        <w:keepLines/>
        <w:spacing w:after="40" w:line="240" w:lineRule="auto"/>
        <w:jc w:val="left"/>
        <w:rPr>
          <w:sz w:val="20"/>
          <w:szCs w:val="20"/>
        </w:rPr>
      </w:pPr>
      <w:r w:rsidRPr="00D80285">
        <w:rPr>
          <w:i/>
          <w:sz w:val="20"/>
          <w:szCs w:val="20"/>
        </w:rPr>
        <w:t xml:space="preserve">Note: </w:t>
      </w:r>
      <w:r w:rsidR="00462B98">
        <w:rPr>
          <w:sz w:val="20"/>
          <w:szCs w:val="20"/>
        </w:rPr>
        <w:t xml:space="preserve">1) Measures shaded in grey are longer-term options; measures without shading are those </w:t>
      </w:r>
      <w:r w:rsidR="008D1309">
        <w:rPr>
          <w:sz w:val="20"/>
          <w:szCs w:val="20"/>
        </w:rPr>
        <w:t>that</w:t>
      </w:r>
      <w:r w:rsidR="00462B98">
        <w:rPr>
          <w:sz w:val="20"/>
          <w:szCs w:val="20"/>
        </w:rPr>
        <w:t xml:space="preserve"> the Companies could implement in the shorter-term and </w:t>
      </w:r>
      <w:r w:rsidR="008D1309">
        <w:rPr>
          <w:sz w:val="20"/>
          <w:szCs w:val="20"/>
        </w:rPr>
        <w:t xml:space="preserve">that </w:t>
      </w:r>
      <w:r w:rsidR="00462B98">
        <w:rPr>
          <w:sz w:val="20"/>
          <w:szCs w:val="20"/>
        </w:rPr>
        <w:t xml:space="preserve">do not require influencing manufacturers, legislators, or other entities. 2) </w:t>
      </w:r>
      <w:r>
        <w:rPr>
          <w:sz w:val="20"/>
          <w:szCs w:val="20"/>
        </w:rPr>
        <w:t xml:space="preserve">NMR calculated savings for measures using several secondary sources; as a result, results </w:t>
      </w:r>
      <w:r w:rsidR="008D1309">
        <w:rPr>
          <w:sz w:val="20"/>
          <w:szCs w:val="20"/>
        </w:rPr>
        <w:t xml:space="preserve">should be interpreted </w:t>
      </w:r>
      <w:r>
        <w:rPr>
          <w:sz w:val="20"/>
          <w:szCs w:val="20"/>
        </w:rPr>
        <w:t xml:space="preserve">with caution. </w:t>
      </w:r>
      <w:r w:rsidR="00462B98">
        <w:rPr>
          <w:sz w:val="20"/>
          <w:szCs w:val="20"/>
        </w:rPr>
        <w:t xml:space="preserve">3) </w:t>
      </w:r>
      <w:r>
        <w:rPr>
          <w:sz w:val="20"/>
          <w:szCs w:val="20"/>
        </w:rPr>
        <w:t xml:space="preserve">The implementation </w:t>
      </w:r>
      <w:r w:rsidRPr="00D33CDC">
        <w:rPr>
          <w:sz w:val="20"/>
          <w:szCs w:val="20"/>
        </w:rPr>
        <w:t xml:space="preserve">strategies </w:t>
      </w:r>
      <w:r w:rsidR="008419ED">
        <w:rPr>
          <w:sz w:val="20"/>
          <w:szCs w:val="20"/>
        </w:rPr>
        <w:t>reflect a mixture of suggestions from the literature and NMR’s own insights</w:t>
      </w:r>
      <w:r w:rsidRPr="00D33CDC">
        <w:rPr>
          <w:sz w:val="20"/>
          <w:szCs w:val="20"/>
        </w:rPr>
        <w:t>.</w:t>
      </w:r>
    </w:p>
    <w:p w14:paraId="5508D517" w14:textId="77777777" w:rsidR="00D33CDC" w:rsidRPr="00D33CDC" w:rsidRDefault="00D33CDC" w:rsidP="003135CB">
      <w:pPr>
        <w:pStyle w:val="CommentText"/>
        <w:spacing w:after="40"/>
      </w:pPr>
      <w:r w:rsidRPr="00D33CDC">
        <w:t>* Satellite and cable STBs provide live programming by turning a satellite signal into content or delivering content through cables that can be shown on a TV/display. Media streaming devices such as Apple TV can often be referred to as STBs; they connect to a TV and wireless network to stream content without having to store or download any video files</w:t>
      </w:r>
      <w:r w:rsidR="008D1309">
        <w:t>,</w:t>
      </w:r>
      <w:r w:rsidR="00BC747F">
        <w:t xml:space="preserve"> but the content generally is not “live</w:t>
      </w:r>
      <w:r w:rsidR="008D1309">
        <w:t>,</w:t>
      </w:r>
      <w:r w:rsidR="00BC747F">
        <w:t xml:space="preserve">” as </w:t>
      </w:r>
      <w:r w:rsidR="008D1309">
        <w:t xml:space="preserve">it is </w:t>
      </w:r>
      <w:r w:rsidR="00BC747F">
        <w:t>from a satellite or cable provider.</w:t>
      </w:r>
      <w:r w:rsidR="003E1FAE">
        <w:t xml:space="preserve"> While NEEA had estimated savings using the assumption that two </w:t>
      </w:r>
      <w:r w:rsidR="003E1FAE" w:rsidRPr="008D1309">
        <w:t>Apple TVs would</w:t>
      </w:r>
      <w:r w:rsidR="003E1FAE">
        <w:t xml:space="preserve"> replace </w:t>
      </w:r>
      <w:r w:rsidR="00754453">
        <w:t xml:space="preserve">a household’s </w:t>
      </w:r>
      <w:r w:rsidR="00DB3201">
        <w:t>cable or satellite</w:t>
      </w:r>
      <w:r w:rsidR="003E1FAE">
        <w:t xml:space="preserve"> pay-TV, other media streaming device</w:t>
      </w:r>
      <w:r w:rsidR="00DC65F4">
        <w:t>s could also be explored</w:t>
      </w:r>
      <w:r w:rsidR="008D1309">
        <w:t xml:space="preserve">, such as </w:t>
      </w:r>
      <w:r w:rsidR="003E1FAE">
        <w:t>Roku or Google Chromecast. The savings of these or other media streaming devices are not explored in this research.</w:t>
      </w:r>
    </w:p>
    <w:p w14:paraId="4EE3BAFB" w14:textId="77777777" w:rsidR="004A34A9" w:rsidRDefault="00D33CDC" w:rsidP="006A0338">
      <w:pPr>
        <w:spacing w:after="200" w:line="240" w:lineRule="auto"/>
        <w:jc w:val="left"/>
        <w:rPr>
          <w:sz w:val="20"/>
          <w:szCs w:val="20"/>
        </w:rPr>
      </w:pPr>
      <w:r w:rsidRPr="00D33CDC">
        <w:rPr>
          <w:sz w:val="20"/>
          <w:szCs w:val="20"/>
        </w:rPr>
        <w:t>** High definition STBs refer to STBs that allow televisions to display the picture in high resolution</w:t>
      </w:r>
      <w:r w:rsidR="008D1309">
        <w:rPr>
          <w:sz w:val="20"/>
          <w:szCs w:val="20"/>
        </w:rPr>
        <w:t>,</w:t>
      </w:r>
      <w:r w:rsidRPr="00D33CDC">
        <w:rPr>
          <w:sz w:val="20"/>
          <w:szCs w:val="20"/>
        </w:rPr>
        <w:t xml:space="preserve"> presenting a clearer picture with a greater number of pixels.</w:t>
      </w:r>
    </w:p>
    <w:p w14:paraId="1189110B" w14:textId="77777777" w:rsidR="00F81ED3" w:rsidRDefault="00F81ED3" w:rsidP="00C16110">
      <w:pPr>
        <w:pStyle w:val="Heading2"/>
        <w:sectPr w:rsidR="00F81ED3" w:rsidSect="004C67E5">
          <w:pgSz w:w="15840" w:h="12240" w:orient="landscape"/>
          <w:pgMar w:top="1440" w:right="1440" w:bottom="1440" w:left="1440" w:header="720" w:footer="720" w:gutter="0"/>
          <w:cols w:space="720"/>
          <w:docGrid w:linePitch="360"/>
        </w:sectPr>
      </w:pPr>
    </w:p>
    <w:p w14:paraId="525F8F03" w14:textId="77777777" w:rsidR="00C758B1" w:rsidRDefault="00C758B1" w:rsidP="00C16110">
      <w:pPr>
        <w:pStyle w:val="Heading2"/>
      </w:pPr>
      <w:bookmarkStart w:id="42" w:name="_Ref398977975"/>
      <w:bookmarkStart w:id="43" w:name="_Toc401667847"/>
      <w:r>
        <w:lastRenderedPageBreak/>
        <w:t>Personal Computers</w:t>
      </w:r>
      <w:bookmarkEnd w:id="42"/>
      <w:bookmarkEnd w:id="43"/>
    </w:p>
    <w:p w14:paraId="36FE52E3" w14:textId="111BE176" w:rsidR="0030067B" w:rsidRDefault="00F537F1" w:rsidP="0030067B">
      <w:r>
        <w:fldChar w:fldCharType="begin"/>
      </w:r>
      <w:r>
        <w:instrText xml:space="preserve"> REF _Ref398976549 \h </w:instrText>
      </w:r>
      <w:r>
        <w:fldChar w:fldCharType="separate"/>
      </w:r>
      <w:r w:rsidR="00302A02">
        <w:t xml:space="preserve">Table </w:t>
      </w:r>
      <w:r w:rsidR="00302A02">
        <w:rPr>
          <w:noProof/>
        </w:rPr>
        <w:t>5</w:t>
      </w:r>
      <w:r>
        <w:fldChar w:fldCharType="end"/>
      </w:r>
      <w:r>
        <w:t xml:space="preserve"> </w:t>
      </w:r>
      <w:r w:rsidR="00825395">
        <w:t>shows sugge</w:t>
      </w:r>
      <w:r w:rsidR="007F40F4">
        <w:t xml:space="preserve">sted savings measures for PCs. Based on research, </w:t>
      </w:r>
      <w:r w:rsidR="004D107A">
        <w:t>optimizing</w:t>
      </w:r>
      <w:r w:rsidR="00A33852">
        <w:t xml:space="preserve"> </w:t>
      </w:r>
      <w:r w:rsidR="005C3223">
        <w:t xml:space="preserve">power management settings </w:t>
      </w:r>
      <w:r w:rsidR="00A33852">
        <w:t xml:space="preserve">(adjusting settings to increase efficiency) </w:t>
      </w:r>
      <w:r w:rsidR="005C3223">
        <w:t xml:space="preserve">for the installed base of desktop PCs could possibly result in savings of 144 kWh/year for installed desktop PCs. The second largest savings opportunity was the purchase of </w:t>
      </w:r>
      <w:r w:rsidR="00A26E2A">
        <w:t xml:space="preserve">ENERGY STAR desktop PCs </w:t>
      </w:r>
      <w:r w:rsidR="00825395">
        <w:t xml:space="preserve">over standard </w:t>
      </w:r>
      <w:r w:rsidR="005C3223">
        <w:t xml:space="preserve">desktop </w:t>
      </w:r>
      <w:r w:rsidR="00825395">
        <w:t>PC models</w:t>
      </w:r>
      <w:r w:rsidR="005C3223">
        <w:t>,</w:t>
      </w:r>
      <w:r w:rsidR="00825395">
        <w:t xml:space="preserve"> offer</w:t>
      </w:r>
      <w:r w:rsidR="005C3223">
        <w:t>ing</w:t>
      </w:r>
      <w:r w:rsidR="00825395">
        <w:t xml:space="preserve"> savings of </w:t>
      </w:r>
      <w:r w:rsidR="005C3223">
        <w:t xml:space="preserve">77 </w:t>
      </w:r>
      <w:r w:rsidR="00825395">
        <w:t>kWh/year in average UEC.</w:t>
      </w:r>
      <w:r w:rsidR="007F40F4">
        <w:t xml:space="preserve"> </w:t>
      </w:r>
    </w:p>
    <w:p w14:paraId="55BE9E6A" w14:textId="2F1FD0A8" w:rsidR="007F40F4" w:rsidRDefault="0030067B" w:rsidP="0030067B">
      <w:r>
        <w:t>The first measure</w:t>
      </w:r>
      <w:r w:rsidR="002348E7">
        <w:t>—</w:t>
      </w:r>
      <w:r w:rsidR="00BE39C2">
        <w:t>a</w:t>
      </w:r>
      <w:r w:rsidR="0009297B" w:rsidRPr="0009297B">
        <w:t>chiev</w:t>
      </w:r>
      <w:r w:rsidR="0009297B">
        <w:t>ing</w:t>
      </w:r>
      <w:r w:rsidR="0009297B" w:rsidRPr="0009297B">
        <w:t xml:space="preserve"> ideal power management on </w:t>
      </w:r>
      <w:r w:rsidR="0009297B">
        <w:t>the</w:t>
      </w:r>
      <w:r w:rsidR="0009297B" w:rsidRPr="0009297B">
        <w:t xml:space="preserve"> installed base</w:t>
      </w:r>
      <w:r w:rsidR="002348E7">
        <w:t>—</w:t>
      </w:r>
      <w:r w:rsidR="0009297B">
        <w:t>would need to be addressed through consumer education</w:t>
      </w:r>
      <w:r w:rsidR="0009297B" w:rsidRPr="0009297B">
        <w:t xml:space="preserve"> </w:t>
      </w:r>
      <w:r w:rsidR="007F40F4">
        <w:t>and</w:t>
      </w:r>
      <w:r w:rsidR="0009297B">
        <w:t>/or</w:t>
      </w:r>
      <w:r w:rsidR="007F40F4">
        <w:t xml:space="preserve"> direct installation efforts</w:t>
      </w:r>
      <w:r w:rsidR="0009297B">
        <w:t xml:space="preserve">. </w:t>
      </w:r>
      <w:r w:rsidR="005C3223">
        <w:t xml:space="preserve">The second measure—encouraging the sale of models meeting or exceeding ENERGY STAR labels—could be implemented by offering incentives to end-users, retailers, and distributors. </w:t>
      </w:r>
      <w:r w:rsidR="0009297B">
        <w:t>The o</w:t>
      </w:r>
      <w:r w:rsidR="007F40F4">
        <w:t>ther measures</w:t>
      </w:r>
      <w:r w:rsidR="0009297B">
        <w:t xml:space="preserve"> would probably need to be part of a long-term program strategy, involving</w:t>
      </w:r>
      <w:r w:rsidR="007F40F4">
        <w:t xml:space="preserve"> p</w:t>
      </w:r>
      <w:r w:rsidR="007F40F4" w:rsidRPr="00CB5661">
        <w:t>artnership</w:t>
      </w:r>
      <w:r w:rsidR="007F40F4">
        <w:t>s</w:t>
      </w:r>
      <w:r w:rsidR="007F40F4" w:rsidRPr="00CB5661">
        <w:t xml:space="preserve"> with policymakers, specification and standard setting entities, and manufacturers</w:t>
      </w:r>
      <w:r w:rsidR="007F40F4">
        <w:t>; these</w:t>
      </w:r>
      <w:r w:rsidR="0042124C">
        <w:t xml:space="preserve"> approaches</w:t>
      </w:r>
      <w:r w:rsidR="007F40F4">
        <w:t xml:space="preserve"> would likely not result in program claimable savings.</w:t>
      </w:r>
    </w:p>
    <w:p w14:paraId="0CD01B15" w14:textId="77777777" w:rsidR="00F537F1" w:rsidRPr="00BA422C" w:rsidRDefault="00F537F1" w:rsidP="0030067B"/>
    <w:p w14:paraId="26ABAE8D" w14:textId="77777777" w:rsidR="00D33A4F" w:rsidRDefault="00D33A4F" w:rsidP="00D33A4F">
      <w:pPr>
        <w:pStyle w:val="Caption"/>
        <w:keepLines/>
        <w:sectPr w:rsidR="00D33A4F" w:rsidSect="004C67E5">
          <w:headerReference w:type="default" r:id="rId37"/>
          <w:footerReference w:type="default" r:id="rId38"/>
          <w:pgSz w:w="12240" w:h="15840" w:code="1"/>
          <w:pgMar w:top="1440" w:right="1440" w:bottom="1440" w:left="1440" w:header="720" w:footer="720" w:gutter="0"/>
          <w:cols w:space="720"/>
          <w:docGrid w:linePitch="360"/>
        </w:sectPr>
      </w:pPr>
      <w:bookmarkStart w:id="44" w:name="_Ref396744472"/>
    </w:p>
    <w:p w14:paraId="23541A5C" w14:textId="77777777" w:rsidR="009C3541" w:rsidRDefault="009C3541" w:rsidP="00D33A4F">
      <w:pPr>
        <w:pStyle w:val="Caption"/>
        <w:keepLines/>
      </w:pPr>
      <w:bookmarkStart w:id="45" w:name="_Ref398976549"/>
      <w:bookmarkStart w:id="46" w:name="_Toc400007929"/>
      <w:r>
        <w:lastRenderedPageBreak/>
        <w:t xml:space="preserve">Table </w:t>
      </w:r>
      <w:fldSimple w:instr=" SEQ Table \* ARABIC ">
        <w:r w:rsidR="00302A02">
          <w:rPr>
            <w:noProof/>
          </w:rPr>
          <w:t>5</w:t>
        </w:r>
      </w:fldSimple>
      <w:bookmarkEnd w:id="44"/>
      <w:bookmarkEnd w:id="45"/>
      <w:r>
        <w:t>: Energy Savings Opportunities – Personal Computers</w:t>
      </w:r>
      <w:bookmarkEnd w:id="46"/>
    </w:p>
    <w:tbl>
      <w:tblPr>
        <w:tblStyle w:val="TableGrid"/>
        <w:tblW w:w="129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1"/>
        <w:gridCol w:w="1620"/>
        <w:gridCol w:w="1530"/>
        <w:gridCol w:w="6734"/>
        <w:gridCol w:w="1787"/>
      </w:tblGrid>
      <w:tr w:rsidR="005D30DB" w:rsidRPr="001B05A5" w14:paraId="1D42046A" w14:textId="77777777" w:rsidTr="005D30DB">
        <w:trPr>
          <w:cantSplit/>
          <w:tblHeader/>
          <w:jc w:val="center"/>
        </w:trPr>
        <w:tc>
          <w:tcPr>
            <w:tcW w:w="1231" w:type="dxa"/>
            <w:tcBorders>
              <w:top w:val="single" w:sz="12" w:space="0" w:color="auto"/>
              <w:bottom w:val="double" w:sz="4" w:space="0" w:color="auto"/>
            </w:tcBorders>
            <w:vAlign w:val="center"/>
          </w:tcPr>
          <w:p w14:paraId="6C840BAB" w14:textId="77777777" w:rsidR="005D30DB" w:rsidRPr="001B05A5" w:rsidRDefault="005D30DB" w:rsidP="00D33A4F">
            <w:pPr>
              <w:keepNext/>
              <w:keepLines/>
              <w:spacing w:after="0"/>
              <w:jc w:val="left"/>
              <w:rPr>
                <w:b/>
                <w:sz w:val="18"/>
                <w:szCs w:val="18"/>
              </w:rPr>
            </w:pPr>
            <w:r>
              <w:rPr>
                <w:b/>
                <w:sz w:val="18"/>
                <w:szCs w:val="18"/>
              </w:rPr>
              <w:t>Savings Measure</w:t>
            </w:r>
          </w:p>
        </w:tc>
        <w:tc>
          <w:tcPr>
            <w:tcW w:w="1620" w:type="dxa"/>
            <w:tcBorders>
              <w:top w:val="single" w:sz="12" w:space="0" w:color="auto"/>
              <w:bottom w:val="double" w:sz="4" w:space="0" w:color="auto"/>
            </w:tcBorders>
            <w:vAlign w:val="center"/>
          </w:tcPr>
          <w:p w14:paraId="20C08D91" w14:textId="77777777" w:rsidR="005D30DB" w:rsidRPr="001B05A5" w:rsidRDefault="005D30DB" w:rsidP="00D33A4F">
            <w:pPr>
              <w:keepNext/>
              <w:keepLines/>
              <w:spacing w:after="0"/>
              <w:jc w:val="left"/>
              <w:rPr>
                <w:b/>
                <w:sz w:val="18"/>
                <w:szCs w:val="18"/>
              </w:rPr>
            </w:pPr>
            <w:r>
              <w:rPr>
                <w:b/>
                <w:sz w:val="18"/>
                <w:szCs w:val="18"/>
              </w:rPr>
              <w:t>Description</w:t>
            </w:r>
          </w:p>
        </w:tc>
        <w:tc>
          <w:tcPr>
            <w:tcW w:w="1530" w:type="dxa"/>
            <w:tcBorders>
              <w:top w:val="single" w:sz="12" w:space="0" w:color="auto"/>
              <w:bottom w:val="double" w:sz="4" w:space="0" w:color="auto"/>
            </w:tcBorders>
            <w:vAlign w:val="center"/>
          </w:tcPr>
          <w:p w14:paraId="1603C3A1" w14:textId="77777777" w:rsidR="005D30DB" w:rsidRPr="001B05A5" w:rsidRDefault="005D30DB" w:rsidP="00D33A4F">
            <w:pPr>
              <w:keepNext/>
              <w:keepLines/>
              <w:spacing w:after="0"/>
              <w:jc w:val="left"/>
              <w:rPr>
                <w:b/>
                <w:sz w:val="18"/>
                <w:szCs w:val="18"/>
              </w:rPr>
            </w:pPr>
            <w:r>
              <w:rPr>
                <w:b/>
                <w:sz w:val="18"/>
                <w:szCs w:val="18"/>
              </w:rPr>
              <w:t xml:space="preserve">Estimated </w:t>
            </w:r>
            <w:r w:rsidRPr="001B05A5">
              <w:rPr>
                <w:b/>
                <w:sz w:val="18"/>
                <w:szCs w:val="18"/>
              </w:rPr>
              <w:t>Savings Potential</w:t>
            </w:r>
          </w:p>
        </w:tc>
        <w:tc>
          <w:tcPr>
            <w:tcW w:w="6734" w:type="dxa"/>
            <w:tcBorders>
              <w:top w:val="single" w:sz="12" w:space="0" w:color="auto"/>
              <w:bottom w:val="double" w:sz="4" w:space="0" w:color="auto"/>
            </w:tcBorders>
            <w:vAlign w:val="center"/>
          </w:tcPr>
          <w:p w14:paraId="2974A3B3" w14:textId="77777777" w:rsidR="005D30DB" w:rsidRDefault="005D30DB" w:rsidP="00D33A4F">
            <w:pPr>
              <w:keepNext/>
              <w:keepLines/>
              <w:spacing w:after="0"/>
              <w:jc w:val="left"/>
              <w:rPr>
                <w:b/>
                <w:sz w:val="18"/>
                <w:szCs w:val="18"/>
              </w:rPr>
            </w:pPr>
            <w:r>
              <w:rPr>
                <w:b/>
                <w:sz w:val="18"/>
                <w:szCs w:val="18"/>
              </w:rPr>
              <w:t>Assumptions for Savings Estimates</w:t>
            </w:r>
          </w:p>
        </w:tc>
        <w:tc>
          <w:tcPr>
            <w:tcW w:w="1787" w:type="dxa"/>
            <w:tcBorders>
              <w:left w:val="single" w:sz="12" w:space="0" w:color="auto"/>
              <w:bottom w:val="double" w:sz="4" w:space="0" w:color="auto"/>
            </w:tcBorders>
            <w:vAlign w:val="center"/>
          </w:tcPr>
          <w:p w14:paraId="7AB8C3F2" w14:textId="77777777" w:rsidR="005D30DB" w:rsidRPr="001B05A5" w:rsidRDefault="005D30DB" w:rsidP="00D33A4F">
            <w:pPr>
              <w:keepNext/>
              <w:keepLines/>
              <w:spacing w:after="0"/>
              <w:jc w:val="left"/>
              <w:rPr>
                <w:b/>
                <w:sz w:val="18"/>
                <w:szCs w:val="18"/>
              </w:rPr>
            </w:pPr>
            <w:r>
              <w:rPr>
                <w:b/>
                <w:sz w:val="18"/>
                <w:szCs w:val="18"/>
              </w:rPr>
              <w:t>Suggestions or Example(s) of Implementation Strategies</w:t>
            </w:r>
          </w:p>
        </w:tc>
      </w:tr>
      <w:tr w:rsidR="005C3223" w:rsidRPr="001B05A5" w14:paraId="710C74F7" w14:textId="77777777" w:rsidTr="005D30DB">
        <w:trPr>
          <w:cantSplit/>
          <w:jc w:val="center"/>
        </w:trPr>
        <w:tc>
          <w:tcPr>
            <w:tcW w:w="1231" w:type="dxa"/>
            <w:tcBorders>
              <w:top w:val="double" w:sz="4" w:space="0" w:color="auto"/>
            </w:tcBorders>
            <w:vAlign w:val="center"/>
          </w:tcPr>
          <w:p w14:paraId="7B40C2F3" w14:textId="729499DD" w:rsidR="005C3223" w:rsidRDefault="005C3223" w:rsidP="00D33A4F">
            <w:pPr>
              <w:keepNext/>
              <w:keepLines/>
              <w:spacing w:after="0"/>
              <w:jc w:val="left"/>
              <w:rPr>
                <w:sz w:val="18"/>
                <w:szCs w:val="18"/>
              </w:rPr>
            </w:pPr>
            <w:r>
              <w:rPr>
                <w:sz w:val="18"/>
                <w:szCs w:val="18"/>
              </w:rPr>
              <w:t>1) Power Management Installation (Desktop PCs Only)</w:t>
            </w:r>
          </w:p>
        </w:tc>
        <w:tc>
          <w:tcPr>
            <w:tcW w:w="1620" w:type="dxa"/>
            <w:tcBorders>
              <w:top w:val="double" w:sz="4" w:space="0" w:color="auto"/>
            </w:tcBorders>
            <w:vAlign w:val="center"/>
          </w:tcPr>
          <w:p w14:paraId="7E83E680" w14:textId="1449BF50" w:rsidR="005C3223" w:rsidRPr="00A25870" w:rsidRDefault="005C3223" w:rsidP="00D33A4F">
            <w:pPr>
              <w:keepNext/>
              <w:keepLines/>
              <w:spacing w:after="0"/>
              <w:jc w:val="left"/>
              <w:rPr>
                <w:sz w:val="18"/>
                <w:szCs w:val="18"/>
              </w:rPr>
            </w:pPr>
            <w:r w:rsidRPr="00A25870">
              <w:rPr>
                <w:sz w:val="18"/>
                <w:szCs w:val="18"/>
              </w:rPr>
              <w:t>Achieve ideal power management on residential installed base.</w:t>
            </w:r>
          </w:p>
        </w:tc>
        <w:tc>
          <w:tcPr>
            <w:tcW w:w="1530" w:type="dxa"/>
            <w:tcBorders>
              <w:top w:val="double" w:sz="4" w:space="0" w:color="auto"/>
              <w:bottom w:val="single" w:sz="4" w:space="0" w:color="auto"/>
            </w:tcBorders>
            <w:vAlign w:val="center"/>
          </w:tcPr>
          <w:p w14:paraId="252EB0DE" w14:textId="49DFB583" w:rsidR="005C3223" w:rsidRDefault="005C3223" w:rsidP="00D33A4F">
            <w:pPr>
              <w:keepNext/>
              <w:keepLines/>
              <w:spacing w:after="0"/>
              <w:jc w:val="left"/>
              <w:rPr>
                <w:sz w:val="18"/>
                <w:szCs w:val="18"/>
              </w:rPr>
            </w:pPr>
            <w:r>
              <w:rPr>
                <w:sz w:val="18"/>
                <w:szCs w:val="18"/>
              </w:rPr>
              <w:t xml:space="preserve">144 kWh/year or 28% savings in average UEC of installed </w:t>
            </w:r>
            <w:r w:rsidRPr="002647F5">
              <w:rPr>
                <w:i/>
                <w:sz w:val="18"/>
                <w:szCs w:val="18"/>
              </w:rPr>
              <w:t>desktop</w:t>
            </w:r>
            <w:r>
              <w:rPr>
                <w:sz w:val="18"/>
                <w:szCs w:val="18"/>
              </w:rPr>
              <w:t xml:space="preserve"> PCs</w:t>
            </w:r>
          </w:p>
        </w:tc>
        <w:tc>
          <w:tcPr>
            <w:tcW w:w="6734" w:type="dxa"/>
            <w:tcBorders>
              <w:top w:val="double" w:sz="4" w:space="0" w:color="auto"/>
              <w:bottom w:val="single" w:sz="4" w:space="0" w:color="auto"/>
            </w:tcBorders>
            <w:vAlign w:val="center"/>
          </w:tcPr>
          <w:p w14:paraId="7CB93719" w14:textId="26433098" w:rsidR="005C3223" w:rsidRDefault="005C3223" w:rsidP="005D7DF4">
            <w:pPr>
              <w:keepNext/>
              <w:keepLines/>
              <w:spacing w:after="0"/>
              <w:jc w:val="left"/>
              <w:rPr>
                <w:sz w:val="18"/>
                <w:szCs w:val="18"/>
              </w:rPr>
            </w:pPr>
            <w:r>
              <w:rPr>
                <w:sz w:val="18"/>
                <w:szCs w:val="18"/>
              </w:rPr>
              <w:t xml:space="preserve">-Energy Center of Wisconsin estimated that the power management savings opportunities for desktop PCs were </w:t>
            </w:r>
            <w:r w:rsidRPr="005C2C12">
              <w:rPr>
                <w:sz w:val="18"/>
                <w:szCs w:val="18"/>
              </w:rPr>
              <w:t>2</w:t>
            </w:r>
            <w:r>
              <w:rPr>
                <w:sz w:val="18"/>
                <w:szCs w:val="18"/>
              </w:rPr>
              <w:t>-396 kWh/year based on the usage patterns of PCs. For example, with PCs that are not turned on very often (15% of the market), power management could create 2 kWh/year in savings and TVs that are set to have long idle periods (40% of the market), power management could save 213 kWh/year.</w:t>
            </w:r>
          </w:p>
          <w:p w14:paraId="6883A800" w14:textId="77777777" w:rsidR="005C3223" w:rsidRDefault="005C3223" w:rsidP="005D7DF4">
            <w:pPr>
              <w:keepNext/>
              <w:keepLines/>
              <w:spacing w:after="0"/>
              <w:jc w:val="left"/>
              <w:rPr>
                <w:sz w:val="18"/>
                <w:szCs w:val="18"/>
              </w:rPr>
            </w:pPr>
          </w:p>
          <w:p w14:paraId="1DD0F3D3" w14:textId="6806DA12" w:rsidR="005C3223" w:rsidRDefault="005C3223" w:rsidP="005D7DF4">
            <w:pPr>
              <w:keepNext/>
              <w:keepLines/>
              <w:spacing w:after="0"/>
              <w:jc w:val="left"/>
              <w:rPr>
                <w:sz w:val="18"/>
                <w:szCs w:val="18"/>
              </w:rPr>
            </w:pPr>
            <w:r>
              <w:rPr>
                <w:sz w:val="18"/>
                <w:szCs w:val="18"/>
              </w:rPr>
              <w:t xml:space="preserve">-NMR weighted the percentage of units Energy Center of Wisconsin reported that were associated with the different usage </w:t>
            </w:r>
            <w:r w:rsidR="008D4BE5">
              <w:rPr>
                <w:sz w:val="18"/>
                <w:szCs w:val="18"/>
              </w:rPr>
              <w:t>types</w:t>
            </w:r>
            <w:r>
              <w:rPr>
                <w:sz w:val="18"/>
                <w:szCs w:val="18"/>
              </w:rPr>
              <w:t xml:space="preserve">, arriving at a weighted savings of approximately 167 kWh/year in UEC and a weighted total consumption without measure of 348 kWh/year. Using these figures, NMR assumed that the measure represented 48% savings </w:t>
            </w:r>
            <w:r w:rsidRPr="002B7F38">
              <w:rPr>
                <w:i/>
                <w:sz w:val="18"/>
                <w:szCs w:val="18"/>
              </w:rPr>
              <w:t>at the time of publishing</w:t>
            </w:r>
            <w:r>
              <w:rPr>
                <w:sz w:val="18"/>
                <w:szCs w:val="18"/>
              </w:rPr>
              <w:t xml:space="preserve"> (2010).</w:t>
            </w:r>
          </w:p>
          <w:p w14:paraId="7426A7BC" w14:textId="77777777" w:rsidR="005C3223" w:rsidRDefault="005C3223" w:rsidP="005D7DF4">
            <w:pPr>
              <w:keepNext/>
              <w:keepLines/>
              <w:spacing w:after="0"/>
              <w:jc w:val="left"/>
              <w:rPr>
                <w:sz w:val="18"/>
                <w:szCs w:val="18"/>
              </w:rPr>
            </w:pPr>
          </w:p>
          <w:p w14:paraId="09FDDF72" w14:textId="77777777" w:rsidR="005C3223" w:rsidRDefault="005C3223" w:rsidP="005D7DF4">
            <w:pPr>
              <w:keepNext/>
              <w:keepLines/>
              <w:spacing w:after="0"/>
              <w:jc w:val="left"/>
              <w:rPr>
                <w:sz w:val="18"/>
                <w:szCs w:val="18"/>
              </w:rPr>
            </w:pPr>
            <w:r>
              <w:rPr>
                <w:sz w:val="18"/>
                <w:szCs w:val="18"/>
              </w:rPr>
              <w:t>-NEEA assumed that savings opportunities associated with this measure would decrease by 5% each year because of retiring old units, estimating that an average UEC savings of 144 kWh/year could be achieved in 2014.</w:t>
            </w:r>
          </w:p>
          <w:p w14:paraId="6B71CD89" w14:textId="77777777" w:rsidR="005C3223" w:rsidRDefault="005C3223" w:rsidP="005D7DF4">
            <w:pPr>
              <w:keepNext/>
              <w:keepLines/>
              <w:spacing w:after="0"/>
              <w:jc w:val="left"/>
              <w:rPr>
                <w:sz w:val="18"/>
                <w:szCs w:val="18"/>
              </w:rPr>
            </w:pPr>
            <w:r>
              <w:rPr>
                <w:sz w:val="18"/>
                <w:szCs w:val="18"/>
              </w:rPr>
              <w:t xml:space="preserve"> </w:t>
            </w:r>
          </w:p>
          <w:p w14:paraId="0B43EB93" w14:textId="69E8CD83" w:rsidR="005C3223" w:rsidRDefault="005C3223" w:rsidP="00D33A4F">
            <w:pPr>
              <w:keepNext/>
              <w:keepLines/>
              <w:spacing w:after="0"/>
              <w:jc w:val="left"/>
              <w:rPr>
                <w:sz w:val="18"/>
                <w:szCs w:val="18"/>
              </w:rPr>
            </w:pPr>
            <w:r>
              <w:rPr>
                <w:sz w:val="18"/>
                <w:szCs w:val="18"/>
              </w:rPr>
              <w:t>-NMR applied NEEA’s annual savings opportunity reduction rate (-5%), arriving at a 28% savings amount for 2014.</w:t>
            </w:r>
          </w:p>
        </w:tc>
        <w:tc>
          <w:tcPr>
            <w:tcW w:w="1787" w:type="dxa"/>
            <w:tcBorders>
              <w:top w:val="double" w:sz="4" w:space="0" w:color="auto"/>
              <w:left w:val="single" w:sz="12" w:space="0" w:color="auto"/>
              <w:bottom w:val="single" w:sz="4" w:space="0" w:color="auto"/>
            </w:tcBorders>
            <w:vAlign w:val="center"/>
          </w:tcPr>
          <w:p w14:paraId="47B11F59" w14:textId="5FF742D4" w:rsidR="005C3223" w:rsidRDefault="005C3223" w:rsidP="00D33A4F">
            <w:pPr>
              <w:keepNext/>
              <w:keepLines/>
              <w:spacing w:after="0"/>
              <w:jc w:val="left"/>
              <w:rPr>
                <w:sz w:val="18"/>
                <w:szCs w:val="18"/>
              </w:rPr>
            </w:pPr>
            <w:r>
              <w:rPr>
                <w:sz w:val="18"/>
                <w:szCs w:val="18"/>
              </w:rPr>
              <w:t>Consumer education campaigns to adjust power management settings; direct installation of optimized power management settings</w:t>
            </w:r>
          </w:p>
        </w:tc>
      </w:tr>
      <w:tr w:rsidR="005C3223" w:rsidRPr="001B05A5" w14:paraId="54F9258C" w14:textId="77777777" w:rsidTr="005D30DB">
        <w:trPr>
          <w:cantSplit/>
          <w:jc w:val="center"/>
        </w:trPr>
        <w:tc>
          <w:tcPr>
            <w:tcW w:w="1231" w:type="dxa"/>
            <w:tcBorders>
              <w:top w:val="double" w:sz="4" w:space="0" w:color="auto"/>
            </w:tcBorders>
            <w:vAlign w:val="center"/>
          </w:tcPr>
          <w:p w14:paraId="08B026C2" w14:textId="232106CA" w:rsidR="005C3223" w:rsidRPr="001B05A5" w:rsidRDefault="005C3223" w:rsidP="00D33A4F">
            <w:pPr>
              <w:keepNext/>
              <w:keepLines/>
              <w:spacing w:after="0"/>
              <w:jc w:val="left"/>
              <w:rPr>
                <w:sz w:val="18"/>
                <w:szCs w:val="18"/>
              </w:rPr>
            </w:pPr>
            <w:r>
              <w:rPr>
                <w:sz w:val="18"/>
                <w:szCs w:val="18"/>
              </w:rPr>
              <w:t>2) Labeled or Recognized Models</w:t>
            </w:r>
          </w:p>
        </w:tc>
        <w:tc>
          <w:tcPr>
            <w:tcW w:w="1620" w:type="dxa"/>
            <w:tcBorders>
              <w:top w:val="double" w:sz="4" w:space="0" w:color="auto"/>
            </w:tcBorders>
            <w:vAlign w:val="center"/>
          </w:tcPr>
          <w:p w14:paraId="68CBA88E" w14:textId="77777777" w:rsidR="005C3223" w:rsidRPr="00A25870" w:rsidRDefault="005C3223" w:rsidP="00D33A4F">
            <w:pPr>
              <w:keepNext/>
              <w:keepLines/>
              <w:spacing w:after="0"/>
              <w:jc w:val="left"/>
              <w:rPr>
                <w:sz w:val="18"/>
                <w:szCs w:val="18"/>
              </w:rPr>
            </w:pPr>
            <w:r w:rsidRPr="00A25870">
              <w:rPr>
                <w:sz w:val="18"/>
                <w:szCs w:val="18"/>
              </w:rPr>
              <w:t>Purchase models meeting ENERGY STAR specifications or percentages above those specifications.</w:t>
            </w:r>
          </w:p>
        </w:tc>
        <w:tc>
          <w:tcPr>
            <w:tcW w:w="1530" w:type="dxa"/>
            <w:tcBorders>
              <w:top w:val="double" w:sz="4" w:space="0" w:color="auto"/>
              <w:bottom w:val="single" w:sz="4" w:space="0" w:color="auto"/>
            </w:tcBorders>
            <w:vAlign w:val="center"/>
          </w:tcPr>
          <w:p w14:paraId="680E45BF" w14:textId="77777777" w:rsidR="005C3223" w:rsidRPr="001B05A5" w:rsidRDefault="005C3223" w:rsidP="00D33A4F">
            <w:pPr>
              <w:keepNext/>
              <w:keepLines/>
              <w:spacing w:after="0"/>
              <w:jc w:val="left"/>
              <w:rPr>
                <w:sz w:val="18"/>
                <w:szCs w:val="18"/>
              </w:rPr>
            </w:pPr>
            <w:r>
              <w:rPr>
                <w:sz w:val="18"/>
                <w:szCs w:val="18"/>
              </w:rPr>
              <w:t>77 kWh/year or 32%, and 23 kWh or 31% savings in average UEC of new desktop and laptop PCs, respectively</w:t>
            </w:r>
          </w:p>
        </w:tc>
        <w:tc>
          <w:tcPr>
            <w:tcW w:w="6734" w:type="dxa"/>
            <w:tcBorders>
              <w:top w:val="double" w:sz="4" w:space="0" w:color="auto"/>
              <w:bottom w:val="single" w:sz="4" w:space="0" w:color="auto"/>
            </w:tcBorders>
            <w:vAlign w:val="center"/>
          </w:tcPr>
          <w:p w14:paraId="06969B63" w14:textId="77777777" w:rsidR="005C3223" w:rsidRDefault="005C3223" w:rsidP="00D33A4F">
            <w:pPr>
              <w:keepNext/>
              <w:keepLines/>
              <w:spacing w:after="0"/>
              <w:jc w:val="left"/>
              <w:rPr>
                <w:sz w:val="18"/>
                <w:szCs w:val="18"/>
              </w:rPr>
            </w:pPr>
            <w:r>
              <w:rPr>
                <w:sz w:val="18"/>
                <w:szCs w:val="18"/>
              </w:rPr>
              <w:t xml:space="preserve">-NEEP reported that the standard desktop PC UEC is 239 kWh/year and that of the standard laptop PC is 66 kWh/year. </w:t>
            </w:r>
          </w:p>
          <w:p w14:paraId="5AD3E720" w14:textId="77777777" w:rsidR="005C3223" w:rsidRDefault="005C3223" w:rsidP="00D33A4F">
            <w:pPr>
              <w:keepNext/>
              <w:keepLines/>
              <w:spacing w:after="0"/>
              <w:jc w:val="left"/>
              <w:rPr>
                <w:sz w:val="18"/>
                <w:szCs w:val="18"/>
              </w:rPr>
            </w:pPr>
          </w:p>
          <w:p w14:paraId="0E569F61" w14:textId="77777777" w:rsidR="005C3223" w:rsidRPr="00BE7121" w:rsidRDefault="005C3223" w:rsidP="00D33A4F">
            <w:pPr>
              <w:keepNext/>
              <w:keepLines/>
              <w:spacing w:after="0"/>
              <w:jc w:val="left"/>
              <w:rPr>
                <w:sz w:val="18"/>
                <w:szCs w:val="18"/>
              </w:rPr>
            </w:pPr>
            <w:r>
              <w:rPr>
                <w:sz w:val="18"/>
                <w:szCs w:val="18"/>
              </w:rPr>
              <w:t>-NEEP indicated that ENERGY STAR desktop PCs consume 162 kWh/year and laptop PCs consume 52 kWh/year.</w:t>
            </w:r>
          </w:p>
        </w:tc>
        <w:tc>
          <w:tcPr>
            <w:tcW w:w="1787" w:type="dxa"/>
            <w:tcBorders>
              <w:top w:val="double" w:sz="4" w:space="0" w:color="auto"/>
              <w:left w:val="single" w:sz="12" w:space="0" w:color="auto"/>
              <w:bottom w:val="single" w:sz="4" w:space="0" w:color="auto"/>
            </w:tcBorders>
            <w:vAlign w:val="center"/>
          </w:tcPr>
          <w:p w14:paraId="2C2CFD2B" w14:textId="77777777" w:rsidR="005C3223" w:rsidRPr="001B05A5" w:rsidRDefault="005C3223" w:rsidP="00D33A4F">
            <w:pPr>
              <w:keepNext/>
              <w:keepLines/>
              <w:spacing w:after="0"/>
              <w:jc w:val="left"/>
              <w:rPr>
                <w:sz w:val="18"/>
                <w:szCs w:val="18"/>
              </w:rPr>
            </w:pPr>
            <w:r>
              <w:rPr>
                <w:sz w:val="18"/>
                <w:szCs w:val="18"/>
              </w:rPr>
              <w:t>Upstream and downstream incentives for purchasing/selling models meeting ENERGY STAR specifications or percentages above those specifications</w:t>
            </w:r>
          </w:p>
        </w:tc>
      </w:tr>
      <w:tr w:rsidR="005C3223" w:rsidRPr="001B05A5" w14:paraId="67E786CE" w14:textId="77777777" w:rsidTr="00A25870">
        <w:trPr>
          <w:cantSplit/>
          <w:jc w:val="center"/>
        </w:trPr>
        <w:tc>
          <w:tcPr>
            <w:tcW w:w="1231" w:type="dxa"/>
            <w:tcBorders>
              <w:top w:val="single" w:sz="4" w:space="0" w:color="auto"/>
              <w:bottom w:val="single" w:sz="4" w:space="0" w:color="auto"/>
            </w:tcBorders>
            <w:shd w:val="pct10" w:color="auto" w:fill="auto"/>
            <w:vAlign w:val="center"/>
          </w:tcPr>
          <w:p w14:paraId="031C518B" w14:textId="77777777" w:rsidR="005C3223" w:rsidRDefault="005C3223" w:rsidP="00D33A4F">
            <w:pPr>
              <w:keepNext/>
              <w:keepLines/>
              <w:jc w:val="left"/>
              <w:rPr>
                <w:sz w:val="18"/>
                <w:szCs w:val="18"/>
              </w:rPr>
            </w:pPr>
            <w:r>
              <w:rPr>
                <w:sz w:val="18"/>
                <w:szCs w:val="18"/>
              </w:rPr>
              <w:t>3) Power Supply Improvement (Desktop PCs Only)</w:t>
            </w:r>
          </w:p>
        </w:tc>
        <w:tc>
          <w:tcPr>
            <w:tcW w:w="1620" w:type="dxa"/>
            <w:tcBorders>
              <w:top w:val="single" w:sz="4" w:space="0" w:color="auto"/>
              <w:bottom w:val="single" w:sz="4" w:space="0" w:color="auto"/>
            </w:tcBorders>
            <w:shd w:val="pct10" w:color="auto" w:fill="auto"/>
            <w:vAlign w:val="center"/>
          </w:tcPr>
          <w:p w14:paraId="7070FB90" w14:textId="77777777" w:rsidR="005C3223" w:rsidRDefault="005C3223" w:rsidP="00D33A4F">
            <w:pPr>
              <w:keepNext/>
              <w:keepLines/>
              <w:spacing w:after="0"/>
              <w:jc w:val="left"/>
              <w:rPr>
                <w:sz w:val="18"/>
                <w:szCs w:val="18"/>
              </w:rPr>
            </w:pPr>
            <w:r w:rsidRPr="005D4341">
              <w:rPr>
                <w:sz w:val="18"/>
                <w:szCs w:val="18"/>
              </w:rPr>
              <w:t>Increase the efficiency of internal power supplies that convert AC power from the outlet to the DC power that is used by the PC</w:t>
            </w:r>
            <w:r>
              <w:rPr>
                <w:sz w:val="18"/>
                <w:szCs w:val="18"/>
              </w:rPr>
              <w:t>.</w:t>
            </w:r>
          </w:p>
        </w:tc>
        <w:tc>
          <w:tcPr>
            <w:tcW w:w="1530" w:type="dxa"/>
            <w:tcBorders>
              <w:top w:val="single" w:sz="4" w:space="0" w:color="auto"/>
              <w:bottom w:val="single" w:sz="4" w:space="0" w:color="auto"/>
            </w:tcBorders>
            <w:shd w:val="pct10" w:color="auto" w:fill="auto"/>
            <w:vAlign w:val="center"/>
          </w:tcPr>
          <w:p w14:paraId="396FBAC0" w14:textId="77777777" w:rsidR="005C3223" w:rsidRDefault="005C3223" w:rsidP="00D33A4F">
            <w:pPr>
              <w:keepNext/>
              <w:keepLines/>
              <w:spacing w:after="0"/>
              <w:jc w:val="left"/>
              <w:rPr>
                <w:sz w:val="18"/>
                <w:szCs w:val="18"/>
              </w:rPr>
            </w:pPr>
            <w:r>
              <w:rPr>
                <w:sz w:val="18"/>
                <w:szCs w:val="18"/>
              </w:rPr>
              <w:t xml:space="preserve">31 kWh/year or 13% average UEC savings of </w:t>
            </w:r>
            <w:r w:rsidRPr="00F85AF4">
              <w:rPr>
                <w:i/>
                <w:sz w:val="18"/>
                <w:szCs w:val="18"/>
              </w:rPr>
              <w:t>new</w:t>
            </w:r>
            <w:r>
              <w:rPr>
                <w:sz w:val="18"/>
                <w:szCs w:val="18"/>
              </w:rPr>
              <w:t xml:space="preserve"> </w:t>
            </w:r>
            <w:r w:rsidRPr="002647F5">
              <w:rPr>
                <w:i/>
                <w:sz w:val="18"/>
                <w:szCs w:val="18"/>
              </w:rPr>
              <w:t>desktop</w:t>
            </w:r>
            <w:r>
              <w:rPr>
                <w:sz w:val="18"/>
                <w:szCs w:val="18"/>
              </w:rPr>
              <w:t xml:space="preserve"> PCs</w:t>
            </w:r>
          </w:p>
        </w:tc>
        <w:tc>
          <w:tcPr>
            <w:tcW w:w="6734" w:type="dxa"/>
            <w:tcBorders>
              <w:top w:val="single" w:sz="4" w:space="0" w:color="auto"/>
              <w:bottom w:val="single" w:sz="4" w:space="0" w:color="auto"/>
            </w:tcBorders>
            <w:shd w:val="pct10" w:color="auto" w:fill="auto"/>
            <w:vAlign w:val="center"/>
          </w:tcPr>
          <w:p w14:paraId="0E5C36D6" w14:textId="77777777" w:rsidR="005C3223" w:rsidRDefault="005C3223" w:rsidP="00D33A4F">
            <w:pPr>
              <w:keepNext/>
              <w:keepLines/>
              <w:spacing w:after="0"/>
              <w:jc w:val="left"/>
              <w:rPr>
                <w:sz w:val="18"/>
                <w:szCs w:val="18"/>
              </w:rPr>
            </w:pPr>
            <w:r>
              <w:rPr>
                <w:sz w:val="18"/>
                <w:szCs w:val="18"/>
              </w:rPr>
              <w:t>-NEEA estimated that the typical desktop PC requires 93 Watts, and when its internal power supply is improved it requires 85 Watts. Assuming units are in an idle state 45% of the time, NEEA calculated that improving the power supply could reduce desktop PC UEC by 31 kWh/year.</w:t>
            </w:r>
          </w:p>
          <w:p w14:paraId="02B0767B" w14:textId="77777777" w:rsidR="005C3223" w:rsidRDefault="005C3223" w:rsidP="00D33A4F">
            <w:pPr>
              <w:keepNext/>
              <w:keepLines/>
              <w:spacing w:after="0"/>
              <w:jc w:val="left"/>
              <w:rPr>
                <w:sz w:val="18"/>
                <w:szCs w:val="18"/>
              </w:rPr>
            </w:pPr>
          </w:p>
          <w:p w14:paraId="46BDEBC7" w14:textId="77777777" w:rsidR="005C3223" w:rsidRDefault="005C3223" w:rsidP="00D33A4F">
            <w:pPr>
              <w:keepNext/>
              <w:keepLines/>
              <w:spacing w:after="0"/>
              <w:jc w:val="left"/>
              <w:rPr>
                <w:sz w:val="18"/>
                <w:szCs w:val="18"/>
              </w:rPr>
            </w:pPr>
            <w:r>
              <w:rPr>
                <w:sz w:val="18"/>
                <w:szCs w:val="18"/>
              </w:rPr>
              <w:t>-NEEA assumed that 10% of devices sold currently have this improved internal power supply efficiency. However, for the purposes of analysis, NMR compared NEEA’s estimated 31 kWh/year savings to NEEP’s baseline estimate of desktop PC consumption of 239 kWh/year, resulting in an estimated savings of 13%.</w:t>
            </w:r>
          </w:p>
        </w:tc>
        <w:tc>
          <w:tcPr>
            <w:tcW w:w="1787" w:type="dxa"/>
            <w:vMerge w:val="restart"/>
            <w:tcBorders>
              <w:top w:val="single" w:sz="4" w:space="0" w:color="auto"/>
              <w:left w:val="single" w:sz="12" w:space="0" w:color="auto"/>
              <w:bottom w:val="single" w:sz="4" w:space="0" w:color="auto"/>
            </w:tcBorders>
            <w:shd w:val="pct10" w:color="auto" w:fill="auto"/>
            <w:vAlign w:val="center"/>
          </w:tcPr>
          <w:p w14:paraId="7F0B19BE" w14:textId="77777777" w:rsidR="005C3223" w:rsidRPr="001B05A5" w:rsidRDefault="005C3223" w:rsidP="00D33A4F">
            <w:pPr>
              <w:keepNext/>
              <w:keepLines/>
              <w:spacing w:after="0"/>
              <w:jc w:val="left"/>
              <w:rPr>
                <w:sz w:val="18"/>
                <w:szCs w:val="18"/>
              </w:rPr>
            </w:pPr>
            <w:r>
              <w:rPr>
                <w:sz w:val="18"/>
                <w:szCs w:val="18"/>
              </w:rPr>
              <w:t>Partnership with policymakers, specification and standard setting entities, and manufacturers (non-incentive based)</w:t>
            </w:r>
          </w:p>
        </w:tc>
      </w:tr>
      <w:tr w:rsidR="005C3223" w:rsidRPr="001B05A5" w14:paraId="3CD67BF4" w14:textId="77777777" w:rsidTr="00A25870">
        <w:trPr>
          <w:cantSplit/>
          <w:jc w:val="center"/>
        </w:trPr>
        <w:tc>
          <w:tcPr>
            <w:tcW w:w="1231" w:type="dxa"/>
            <w:tcBorders>
              <w:top w:val="single" w:sz="4" w:space="0" w:color="auto"/>
              <w:bottom w:val="single" w:sz="12" w:space="0" w:color="auto"/>
            </w:tcBorders>
            <w:shd w:val="pct10" w:color="auto" w:fill="auto"/>
            <w:vAlign w:val="center"/>
          </w:tcPr>
          <w:p w14:paraId="382B858C" w14:textId="77777777" w:rsidR="005C3223" w:rsidRDefault="005C3223" w:rsidP="00D33A4F">
            <w:pPr>
              <w:keepNext/>
              <w:keepLines/>
              <w:jc w:val="left"/>
              <w:rPr>
                <w:sz w:val="18"/>
                <w:szCs w:val="18"/>
              </w:rPr>
            </w:pPr>
            <w:r>
              <w:rPr>
                <w:sz w:val="18"/>
                <w:szCs w:val="18"/>
              </w:rPr>
              <w:lastRenderedPageBreak/>
              <w:t>4) Voltage Regulator Improvement (Desktop PCs Only)</w:t>
            </w:r>
          </w:p>
        </w:tc>
        <w:tc>
          <w:tcPr>
            <w:tcW w:w="1620" w:type="dxa"/>
            <w:tcBorders>
              <w:top w:val="single" w:sz="4" w:space="0" w:color="auto"/>
              <w:bottom w:val="single" w:sz="12" w:space="0" w:color="auto"/>
            </w:tcBorders>
            <w:shd w:val="pct10" w:color="auto" w:fill="auto"/>
            <w:vAlign w:val="center"/>
          </w:tcPr>
          <w:p w14:paraId="78AF173C" w14:textId="77777777" w:rsidR="005C3223" w:rsidRDefault="005C3223" w:rsidP="00D33A4F">
            <w:pPr>
              <w:keepNext/>
              <w:keepLines/>
              <w:spacing w:after="0"/>
              <w:jc w:val="left"/>
              <w:rPr>
                <w:sz w:val="18"/>
                <w:szCs w:val="18"/>
              </w:rPr>
            </w:pPr>
            <w:r w:rsidRPr="005D4341">
              <w:rPr>
                <w:sz w:val="18"/>
                <w:szCs w:val="18"/>
              </w:rPr>
              <w:t xml:space="preserve">Increase the efficiency of voltage regulators by </w:t>
            </w:r>
            <w:r>
              <w:rPr>
                <w:sz w:val="18"/>
                <w:szCs w:val="18"/>
              </w:rPr>
              <w:t>going</w:t>
            </w:r>
            <w:r w:rsidRPr="005D4341">
              <w:rPr>
                <w:sz w:val="18"/>
                <w:szCs w:val="18"/>
              </w:rPr>
              <w:t xml:space="preserve"> from the typical linear type of voltage regulator to a switching type</w:t>
            </w:r>
            <w:r>
              <w:rPr>
                <w:sz w:val="18"/>
                <w:szCs w:val="18"/>
              </w:rPr>
              <w:t>.</w:t>
            </w:r>
          </w:p>
        </w:tc>
        <w:tc>
          <w:tcPr>
            <w:tcW w:w="1530" w:type="dxa"/>
            <w:tcBorders>
              <w:top w:val="single" w:sz="4" w:space="0" w:color="auto"/>
              <w:bottom w:val="single" w:sz="12" w:space="0" w:color="auto"/>
            </w:tcBorders>
            <w:shd w:val="pct10" w:color="auto" w:fill="auto"/>
            <w:vAlign w:val="center"/>
          </w:tcPr>
          <w:p w14:paraId="701B4EA8" w14:textId="77777777" w:rsidR="005C3223" w:rsidRDefault="005C3223" w:rsidP="00D33A4F">
            <w:pPr>
              <w:keepNext/>
              <w:keepLines/>
              <w:spacing w:after="0"/>
              <w:jc w:val="left"/>
              <w:rPr>
                <w:sz w:val="18"/>
                <w:szCs w:val="18"/>
              </w:rPr>
            </w:pPr>
            <w:r>
              <w:rPr>
                <w:sz w:val="18"/>
                <w:szCs w:val="18"/>
              </w:rPr>
              <w:t xml:space="preserve">29 kWh/year or 12% savings in average UEC of </w:t>
            </w:r>
            <w:r w:rsidRPr="00F85AF4">
              <w:rPr>
                <w:i/>
                <w:sz w:val="18"/>
                <w:szCs w:val="18"/>
              </w:rPr>
              <w:t>new</w:t>
            </w:r>
            <w:r>
              <w:rPr>
                <w:sz w:val="18"/>
                <w:szCs w:val="18"/>
              </w:rPr>
              <w:t xml:space="preserve"> </w:t>
            </w:r>
            <w:r w:rsidRPr="002647F5">
              <w:rPr>
                <w:i/>
                <w:sz w:val="18"/>
                <w:szCs w:val="18"/>
              </w:rPr>
              <w:t>desktop</w:t>
            </w:r>
            <w:r>
              <w:rPr>
                <w:sz w:val="18"/>
                <w:szCs w:val="18"/>
              </w:rPr>
              <w:t xml:space="preserve"> PCs </w:t>
            </w:r>
          </w:p>
        </w:tc>
        <w:tc>
          <w:tcPr>
            <w:tcW w:w="6734" w:type="dxa"/>
            <w:tcBorders>
              <w:top w:val="single" w:sz="4" w:space="0" w:color="auto"/>
              <w:bottom w:val="single" w:sz="12" w:space="0" w:color="auto"/>
            </w:tcBorders>
            <w:shd w:val="pct10" w:color="auto" w:fill="auto"/>
            <w:vAlign w:val="center"/>
          </w:tcPr>
          <w:p w14:paraId="62A57898" w14:textId="77777777" w:rsidR="005C3223" w:rsidRDefault="005C3223" w:rsidP="00D33A4F">
            <w:pPr>
              <w:keepNext/>
              <w:keepLines/>
              <w:spacing w:after="0"/>
              <w:jc w:val="left"/>
              <w:rPr>
                <w:sz w:val="18"/>
                <w:szCs w:val="18"/>
              </w:rPr>
            </w:pPr>
            <w:r>
              <w:rPr>
                <w:sz w:val="18"/>
                <w:szCs w:val="18"/>
              </w:rPr>
              <w:t>-NEEA estimated that the typical desktop PC voltage regulator requires 31 Watts, and when it has been changed with a “switching” type, the voltage regulator requires 24 Watts. Assuming units are in an idle state 45% of the time, NEEA calculated that changing the voltage regulator could reduce desktop PC UEC by 29 kWh/year.</w:t>
            </w:r>
          </w:p>
          <w:p w14:paraId="011038E9" w14:textId="77777777" w:rsidR="005C3223" w:rsidRDefault="005C3223" w:rsidP="00D33A4F">
            <w:pPr>
              <w:keepNext/>
              <w:keepLines/>
              <w:spacing w:after="0"/>
              <w:jc w:val="left"/>
              <w:rPr>
                <w:sz w:val="18"/>
                <w:szCs w:val="18"/>
              </w:rPr>
            </w:pPr>
          </w:p>
          <w:p w14:paraId="66640661" w14:textId="77777777" w:rsidR="005C3223" w:rsidRPr="001B05A5" w:rsidRDefault="005C3223" w:rsidP="00D33A4F">
            <w:pPr>
              <w:keepNext/>
              <w:keepLines/>
              <w:spacing w:after="0"/>
              <w:jc w:val="left"/>
              <w:rPr>
                <w:sz w:val="18"/>
                <w:szCs w:val="18"/>
              </w:rPr>
            </w:pPr>
            <w:r>
              <w:rPr>
                <w:sz w:val="18"/>
                <w:szCs w:val="18"/>
              </w:rPr>
              <w:t>-NEEA assumed that 1% of devices sold currently have switching voltage regulators. However, for the purposes of analysis, NMR compared NEEA’s estimated 29 kWh/year savings to NEEP’s baseline estimate of desktop PC consumption of 239 kWh/year, resulting in an estimated savings of 12%.</w:t>
            </w:r>
          </w:p>
        </w:tc>
        <w:tc>
          <w:tcPr>
            <w:tcW w:w="1787" w:type="dxa"/>
            <w:vMerge/>
            <w:tcBorders>
              <w:top w:val="single" w:sz="4" w:space="0" w:color="auto"/>
              <w:left w:val="single" w:sz="12" w:space="0" w:color="auto"/>
              <w:bottom w:val="single" w:sz="12" w:space="0" w:color="auto"/>
            </w:tcBorders>
            <w:shd w:val="pct10" w:color="auto" w:fill="auto"/>
            <w:vAlign w:val="center"/>
          </w:tcPr>
          <w:p w14:paraId="265598DF" w14:textId="77777777" w:rsidR="005C3223" w:rsidRPr="001B05A5" w:rsidRDefault="005C3223" w:rsidP="00D33A4F">
            <w:pPr>
              <w:keepNext/>
              <w:keepLines/>
              <w:spacing w:after="0"/>
              <w:jc w:val="left"/>
              <w:rPr>
                <w:sz w:val="18"/>
                <w:szCs w:val="18"/>
              </w:rPr>
            </w:pPr>
          </w:p>
        </w:tc>
      </w:tr>
    </w:tbl>
    <w:p w14:paraId="0B5E0A6C" w14:textId="77777777" w:rsidR="00054637" w:rsidRPr="00AE605B" w:rsidRDefault="00C42927" w:rsidP="00AE605B">
      <w:pPr>
        <w:keepNext/>
        <w:keepLines/>
        <w:spacing w:after="40" w:line="240" w:lineRule="auto"/>
        <w:jc w:val="left"/>
        <w:rPr>
          <w:sz w:val="20"/>
          <w:szCs w:val="20"/>
        </w:rPr>
      </w:pPr>
      <w:r w:rsidRPr="00AE605B">
        <w:rPr>
          <w:i/>
          <w:sz w:val="20"/>
          <w:szCs w:val="20"/>
        </w:rPr>
        <w:t>Sources</w:t>
      </w:r>
      <w:r w:rsidRPr="00AE605B">
        <w:rPr>
          <w:sz w:val="20"/>
          <w:szCs w:val="20"/>
        </w:rPr>
        <w:t xml:space="preserve">: 1) </w:t>
      </w:r>
      <w:r w:rsidR="00302422" w:rsidRPr="00AE605B">
        <w:rPr>
          <w:sz w:val="20"/>
          <w:szCs w:val="20"/>
        </w:rPr>
        <w:t>NEEP. “Business &amp; Consumer Electronic</w:t>
      </w:r>
      <w:r w:rsidR="00C351B9" w:rsidRPr="00AE605B">
        <w:rPr>
          <w:sz w:val="20"/>
          <w:szCs w:val="20"/>
        </w:rPr>
        <w:t>s: A Strategy for the Northeast</w:t>
      </w:r>
      <w:r w:rsidR="00AE605B">
        <w:rPr>
          <w:sz w:val="20"/>
          <w:szCs w:val="20"/>
        </w:rPr>
        <w:t>.</w:t>
      </w:r>
      <w:r w:rsidR="00302422" w:rsidRPr="00AE605B">
        <w:rPr>
          <w:sz w:val="20"/>
          <w:szCs w:val="20"/>
        </w:rPr>
        <w:t>”</w:t>
      </w:r>
      <w:r w:rsidR="000F65DB" w:rsidRPr="00AE605B">
        <w:rPr>
          <w:sz w:val="20"/>
          <w:szCs w:val="20"/>
        </w:rPr>
        <w:t xml:space="preserve"> 2) </w:t>
      </w:r>
      <w:r w:rsidRPr="00AE605B">
        <w:rPr>
          <w:sz w:val="20"/>
          <w:szCs w:val="20"/>
        </w:rPr>
        <w:t>NEEA. “Energy Savings Opportunities</w:t>
      </w:r>
      <w:r w:rsidR="00AA5923" w:rsidRPr="00AE605B">
        <w:rPr>
          <w:sz w:val="20"/>
          <w:szCs w:val="20"/>
        </w:rPr>
        <w:t xml:space="preserve"> </w:t>
      </w:r>
      <w:r w:rsidR="004A34A9" w:rsidRPr="00AE605B">
        <w:rPr>
          <w:sz w:val="20"/>
          <w:szCs w:val="20"/>
        </w:rPr>
        <w:t>and Market Descriptions DDC42BF7F151</w:t>
      </w:r>
      <w:r w:rsidRPr="00AE605B">
        <w:rPr>
          <w:sz w:val="20"/>
          <w:szCs w:val="20"/>
        </w:rPr>
        <w:t xml:space="preserve">.” Spreadsheet. September 2012. Accessed June 10, 2014. </w:t>
      </w:r>
      <w:hyperlink r:id="rId39" w:history="1">
        <w:r w:rsidRPr="00AE605B">
          <w:rPr>
            <w:rStyle w:val="Hyperlink"/>
            <w:sz w:val="20"/>
            <w:szCs w:val="20"/>
          </w:rPr>
          <w:t>http://neea.org/resource-center/market-research-and-evaluation-reports?topic=532330ab-8fe1-4a25-bfe7-ad8cc53f2e28&amp;sort=PublicationDate+DESC</w:t>
        </w:r>
      </w:hyperlink>
      <w:r w:rsidRPr="00AE605B">
        <w:rPr>
          <w:sz w:val="20"/>
          <w:szCs w:val="20"/>
        </w:rPr>
        <w:t xml:space="preserve"> </w:t>
      </w:r>
      <w:r w:rsidR="00AA5923" w:rsidRPr="00AE605B">
        <w:rPr>
          <w:sz w:val="20"/>
          <w:szCs w:val="20"/>
        </w:rPr>
        <w:t xml:space="preserve">3) Energy Center of Wisconsin. “Electricity Savings Opportunities for Home Electronics and Other Plug-In Devices in Minnesota Homes: A technical and behavioral field assessment.” May 2010. Accessed August 5, 2014. </w:t>
      </w:r>
      <w:hyperlink r:id="rId40" w:history="1">
        <w:r w:rsidR="00AA5923" w:rsidRPr="00AE605B">
          <w:rPr>
            <w:rStyle w:val="Hyperlink"/>
            <w:sz w:val="20"/>
            <w:szCs w:val="20"/>
          </w:rPr>
          <w:t>http://www.ecw.org/publications/electricity-savings-opportunities-home-electronics-and-other-plug-devices-minnesota</w:t>
        </w:r>
      </w:hyperlink>
      <w:r w:rsidR="00AA5923" w:rsidRPr="00AE605B">
        <w:rPr>
          <w:sz w:val="20"/>
          <w:szCs w:val="20"/>
        </w:rPr>
        <w:t xml:space="preserve"> </w:t>
      </w:r>
      <w:r w:rsidR="000F65DB" w:rsidRPr="00AE605B">
        <w:rPr>
          <w:sz w:val="20"/>
          <w:szCs w:val="20"/>
        </w:rPr>
        <w:t>4</w:t>
      </w:r>
      <w:r w:rsidR="00AA5923" w:rsidRPr="00AE605B">
        <w:rPr>
          <w:sz w:val="20"/>
          <w:szCs w:val="20"/>
        </w:rPr>
        <w:t>) UI and CL&amp;P. “Connecticut Program Savings Document: 9</w:t>
      </w:r>
      <w:r w:rsidR="00AA5923" w:rsidRPr="00AE605B">
        <w:rPr>
          <w:sz w:val="20"/>
          <w:szCs w:val="20"/>
          <w:vertAlign w:val="superscript"/>
        </w:rPr>
        <w:t>th</w:t>
      </w:r>
      <w:r w:rsidR="00AA5923" w:rsidRPr="00AE605B">
        <w:rPr>
          <w:sz w:val="20"/>
          <w:szCs w:val="20"/>
        </w:rPr>
        <w:t xml:space="preserve"> Edition for 2014 Program Year.”</w:t>
      </w:r>
    </w:p>
    <w:p w14:paraId="31C28F5A" w14:textId="77777777" w:rsidR="00195F39" w:rsidRPr="00665E5F" w:rsidRDefault="00195F39" w:rsidP="00AE605B">
      <w:pPr>
        <w:keepLines/>
        <w:spacing w:after="40" w:line="240" w:lineRule="auto"/>
        <w:jc w:val="left"/>
      </w:pPr>
      <w:r w:rsidRPr="00AE605B">
        <w:rPr>
          <w:i/>
          <w:sz w:val="20"/>
          <w:szCs w:val="20"/>
        </w:rPr>
        <w:t xml:space="preserve">Note: </w:t>
      </w:r>
      <w:r w:rsidR="00462B98" w:rsidRPr="00AE605B">
        <w:rPr>
          <w:sz w:val="20"/>
          <w:szCs w:val="20"/>
        </w:rPr>
        <w:t xml:space="preserve">1) Measures shaded in grey are longer-term options; measures without shading are those </w:t>
      </w:r>
      <w:r w:rsidR="00AE605B">
        <w:rPr>
          <w:sz w:val="20"/>
          <w:szCs w:val="20"/>
        </w:rPr>
        <w:t>that</w:t>
      </w:r>
      <w:r w:rsidR="00462B98" w:rsidRPr="00AE605B">
        <w:rPr>
          <w:sz w:val="20"/>
          <w:szCs w:val="20"/>
        </w:rPr>
        <w:t xml:space="preserve"> the Companies could implement in the shorter-term and </w:t>
      </w:r>
      <w:r w:rsidR="00AE605B">
        <w:rPr>
          <w:sz w:val="20"/>
          <w:szCs w:val="20"/>
        </w:rPr>
        <w:t xml:space="preserve">that </w:t>
      </w:r>
      <w:r w:rsidR="00462B98" w:rsidRPr="00AE605B">
        <w:rPr>
          <w:sz w:val="20"/>
          <w:szCs w:val="20"/>
        </w:rPr>
        <w:t xml:space="preserve">do not require influencing manufacturers, legislators, or other entities. 2) </w:t>
      </w:r>
      <w:r w:rsidRPr="00AE605B">
        <w:rPr>
          <w:sz w:val="20"/>
          <w:szCs w:val="20"/>
        </w:rPr>
        <w:t xml:space="preserve">NMR calculated savings for measures using several secondary sources; </w:t>
      </w:r>
      <w:r w:rsidR="00AE605B">
        <w:rPr>
          <w:sz w:val="20"/>
          <w:szCs w:val="20"/>
        </w:rPr>
        <w:t>therefore</w:t>
      </w:r>
      <w:r w:rsidRPr="00AE605B">
        <w:rPr>
          <w:sz w:val="20"/>
          <w:szCs w:val="20"/>
        </w:rPr>
        <w:t xml:space="preserve">, results </w:t>
      </w:r>
      <w:r w:rsidR="00AE605B">
        <w:rPr>
          <w:sz w:val="20"/>
          <w:szCs w:val="20"/>
        </w:rPr>
        <w:t xml:space="preserve">should be interpreted </w:t>
      </w:r>
      <w:r w:rsidRPr="00AE605B">
        <w:rPr>
          <w:sz w:val="20"/>
          <w:szCs w:val="20"/>
        </w:rPr>
        <w:t xml:space="preserve">with caution. </w:t>
      </w:r>
      <w:r w:rsidR="00462B98" w:rsidRPr="00AE605B">
        <w:rPr>
          <w:sz w:val="20"/>
          <w:szCs w:val="20"/>
        </w:rPr>
        <w:t xml:space="preserve">3) </w:t>
      </w:r>
      <w:r w:rsidRPr="00AE605B">
        <w:rPr>
          <w:sz w:val="20"/>
          <w:szCs w:val="20"/>
        </w:rPr>
        <w:t xml:space="preserve">The implementation strategies </w:t>
      </w:r>
      <w:r w:rsidR="008419ED" w:rsidRPr="00AE605B">
        <w:rPr>
          <w:sz w:val="20"/>
          <w:szCs w:val="20"/>
        </w:rPr>
        <w:t>reflect a mixture of suggestions from the literature and NMR’s own insights</w:t>
      </w:r>
      <w:r w:rsidRPr="00AE605B">
        <w:rPr>
          <w:sz w:val="20"/>
          <w:szCs w:val="20"/>
        </w:rPr>
        <w:t>.</w:t>
      </w:r>
    </w:p>
    <w:p w14:paraId="1002396E" w14:textId="77777777" w:rsidR="004A34A9" w:rsidRDefault="004A34A9" w:rsidP="00F537F1">
      <w:pPr>
        <w:rPr>
          <w:rFonts w:ascii="Arial" w:eastAsiaTheme="majorEastAsia" w:hAnsi="Arial" w:cstheme="majorBidi"/>
          <w:b/>
          <w:bCs/>
          <w:sz w:val="28"/>
          <w:szCs w:val="26"/>
        </w:rPr>
      </w:pPr>
    </w:p>
    <w:p w14:paraId="4061DA3F" w14:textId="77777777" w:rsidR="00F81ED3" w:rsidRDefault="00F81ED3" w:rsidP="00665E5F">
      <w:pPr>
        <w:pStyle w:val="Heading2"/>
        <w:sectPr w:rsidR="00F81ED3" w:rsidSect="004C67E5">
          <w:pgSz w:w="15840" w:h="12240" w:orient="landscape"/>
          <w:pgMar w:top="1440" w:right="1440" w:bottom="1440" w:left="1440" w:header="720" w:footer="720" w:gutter="0"/>
          <w:cols w:space="720"/>
          <w:docGrid w:linePitch="360"/>
        </w:sectPr>
      </w:pPr>
    </w:p>
    <w:p w14:paraId="04FE7FF4" w14:textId="77777777" w:rsidR="009337ED" w:rsidRDefault="009337ED" w:rsidP="00665E5F">
      <w:pPr>
        <w:pStyle w:val="Heading2"/>
      </w:pPr>
      <w:bookmarkStart w:id="47" w:name="_Ref399765064"/>
      <w:bookmarkStart w:id="48" w:name="_Toc401667848"/>
      <w:r>
        <w:lastRenderedPageBreak/>
        <w:t>Network Equipment</w:t>
      </w:r>
      <w:bookmarkEnd w:id="47"/>
      <w:bookmarkEnd w:id="48"/>
    </w:p>
    <w:p w14:paraId="327F57AF" w14:textId="77777777" w:rsidR="0009297B" w:rsidRDefault="00F537F1" w:rsidP="00183B3E">
      <w:r>
        <w:fldChar w:fldCharType="begin"/>
      </w:r>
      <w:r>
        <w:instrText xml:space="preserve"> REF _Ref399859977 \h </w:instrText>
      </w:r>
      <w:r>
        <w:fldChar w:fldCharType="separate"/>
      </w:r>
      <w:r w:rsidR="00302A02">
        <w:t xml:space="preserve">Table </w:t>
      </w:r>
      <w:r w:rsidR="00302A02">
        <w:rPr>
          <w:noProof/>
        </w:rPr>
        <w:t>6</w:t>
      </w:r>
      <w:r>
        <w:fldChar w:fldCharType="end"/>
      </w:r>
      <w:r>
        <w:t xml:space="preserve"> </w:t>
      </w:r>
      <w:r w:rsidR="00567516">
        <w:t xml:space="preserve">shows potential measures </w:t>
      </w:r>
      <w:r w:rsidR="00053527">
        <w:t>to</w:t>
      </w:r>
      <w:r w:rsidR="00567516">
        <w:t xml:space="preserve"> reduc</w:t>
      </w:r>
      <w:r w:rsidR="00053527">
        <w:t>e</w:t>
      </w:r>
      <w:r w:rsidR="00567516">
        <w:t xml:space="preserve"> the energy consumption of network equipment. The biggest potential saver </w:t>
      </w:r>
      <w:r w:rsidR="00053527">
        <w:t xml:space="preserve">is </w:t>
      </w:r>
      <w:r w:rsidR="00592DD0">
        <w:t xml:space="preserve">apparently </w:t>
      </w:r>
      <w:r w:rsidR="00567516">
        <w:t xml:space="preserve">what </w:t>
      </w:r>
      <w:r w:rsidR="00592DD0">
        <w:t xml:space="preserve">is </w:t>
      </w:r>
      <w:r w:rsidR="00053527">
        <w:t>termed</w:t>
      </w:r>
      <w:r w:rsidR="00567516">
        <w:t xml:space="preserve"> “next-generation” equipment</w:t>
      </w:r>
      <w:r w:rsidR="00C2763F">
        <w:t>—</w:t>
      </w:r>
      <w:r w:rsidR="0042124C">
        <w:t xml:space="preserve">it </w:t>
      </w:r>
      <w:r w:rsidR="00592DD0">
        <w:t>includes</w:t>
      </w:r>
      <w:r w:rsidR="00567516">
        <w:t xml:space="preserve"> advanced technologies </w:t>
      </w:r>
      <w:r w:rsidR="0042124C">
        <w:t xml:space="preserve">(not yet available) </w:t>
      </w:r>
      <w:r w:rsidR="00567516">
        <w:t>that reduce power draw</w:t>
      </w:r>
      <w:r w:rsidR="00592DD0">
        <w:t xml:space="preserve"> so that only the required amount of energy for a given activity is drawn at the time of the activity</w:t>
      </w:r>
      <w:r w:rsidR="0042124C">
        <w:t xml:space="preserve"> (often referred to as power scaling or voltage scaling)</w:t>
      </w:r>
      <w:r w:rsidR="00592DD0">
        <w:t xml:space="preserve">; NRDC reported that this could save 80% </w:t>
      </w:r>
      <w:r w:rsidR="0042124C">
        <w:t xml:space="preserve">of current </w:t>
      </w:r>
      <w:r w:rsidR="00490A54">
        <w:t xml:space="preserve">network </w:t>
      </w:r>
      <w:r w:rsidR="0042124C">
        <w:t>equipment consumption</w:t>
      </w:r>
      <w:r w:rsidR="00592DD0">
        <w:t xml:space="preserve">. </w:t>
      </w:r>
      <w:r w:rsidR="0009297B">
        <w:t>This advancement would not be something that a program could incorporate in its near-term program strategy.</w:t>
      </w:r>
    </w:p>
    <w:p w14:paraId="5A539636" w14:textId="77777777" w:rsidR="00F40A76" w:rsidRDefault="00592DD0" w:rsidP="00183B3E">
      <w:r>
        <w:t>Other</w:t>
      </w:r>
      <w:r w:rsidR="00053527">
        <w:t>,</w:t>
      </w:r>
      <w:r>
        <w:t xml:space="preserve"> more immediate program-relevant measures</w:t>
      </w:r>
      <w:r w:rsidR="0042124C">
        <w:t>,</w:t>
      </w:r>
      <w:r>
        <w:t xml:space="preserve"> like </w:t>
      </w:r>
      <w:r w:rsidR="0042124C">
        <w:t>replacing the installed base with equipment as efficient as the top 25% of current equipment, also have the potential to generate notable amounts of savings (34%).</w:t>
      </w:r>
      <w:r w:rsidR="0009297B">
        <w:t xml:space="preserve"> </w:t>
      </w:r>
      <w:r w:rsidR="00F40A76">
        <w:t xml:space="preserve">Despite </w:t>
      </w:r>
      <w:r w:rsidR="00053527">
        <w:t xml:space="preserve">the fact </w:t>
      </w:r>
      <w:r w:rsidR="00F40A76">
        <w:t>that the UEC savings for these network equipment measures are fairly small, ranging from 3</w:t>
      </w:r>
      <w:r w:rsidR="00053527">
        <w:t xml:space="preserve"> </w:t>
      </w:r>
      <w:r w:rsidR="00F40A76">
        <w:t>kWh/year to 20</w:t>
      </w:r>
      <w:r w:rsidR="00053527">
        <w:t xml:space="preserve"> </w:t>
      </w:r>
      <w:r w:rsidR="00F40A76">
        <w:t xml:space="preserve">kWh/year, homes with network equipment </w:t>
      </w:r>
      <w:r w:rsidR="00053527">
        <w:t xml:space="preserve">often </w:t>
      </w:r>
      <w:r w:rsidR="00F40A76">
        <w:t>have more than one device—typically a modem and router configured together.</w:t>
      </w:r>
      <w:r w:rsidR="00E473E6" w:rsidRPr="00E473E6">
        <w:rPr>
          <w:rStyle w:val="FootnoteReference"/>
        </w:rPr>
        <w:t xml:space="preserve"> </w:t>
      </w:r>
      <w:r w:rsidR="00E473E6">
        <w:rPr>
          <w:rStyle w:val="FootnoteReference"/>
        </w:rPr>
        <w:footnoteReference w:id="23"/>
      </w:r>
      <w:r w:rsidR="00F40A76">
        <w:t xml:space="preserve"> </w:t>
      </w:r>
      <w:r w:rsidR="00E473E6">
        <w:t xml:space="preserve">As such, greater savings opportunities are likely present. </w:t>
      </w:r>
      <w:r w:rsidR="00F40A76">
        <w:t>More research examining common configurations and household</w:t>
      </w:r>
      <w:r w:rsidR="00E473E6">
        <w:t xml:space="preserve"> usage patterns would be helpful for gaining further insight into the savings opportunities at the household level.</w:t>
      </w:r>
    </w:p>
    <w:p w14:paraId="53B673F3" w14:textId="77777777" w:rsidR="00D33A4F" w:rsidRDefault="0042124C" w:rsidP="00D33A4F">
      <w:r>
        <w:t xml:space="preserve">As with measures for other product categories, </w:t>
      </w:r>
      <w:r w:rsidR="00490A54">
        <w:t xml:space="preserve">near-term </w:t>
      </w:r>
      <w:r>
        <w:t xml:space="preserve">programmatic strategies for </w:t>
      </w:r>
      <w:r w:rsidR="0009297B">
        <w:t xml:space="preserve">the other </w:t>
      </w:r>
      <w:r>
        <w:t>measures listed below could involve running equipment recycling opportuni</w:t>
      </w:r>
      <w:r w:rsidR="0024233D">
        <w:t>ties</w:t>
      </w:r>
      <w:r w:rsidR="00053527">
        <w:t>,</w:t>
      </w:r>
      <w:r w:rsidR="0024233D">
        <w:t xml:space="preserve"> and </w:t>
      </w:r>
      <w:r>
        <w:t>offering incentives based on labels and recognition programs directed at end-user</w:t>
      </w:r>
      <w:r w:rsidR="00490A54">
        <w:t>s</w:t>
      </w:r>
      <w:r>
        <w:t>, retailers, and distributors</w:t>
      </w:r>
      <w:r w:rsidR="00053527">
        <w:t>.</w:t>
      </w:r>
      <w:r>
        <w:t xml:space="preserve"> </w:t>
      </w:r>
      <w:r w:rsidR="00053527">
        <w:t>T</w:t>
      </w:r>
      <w:r>
        <w:t xml:space="preserve">hese strategies could </w:t>
      </w:r>
      <w:r w:rsidR="00490A54">
        <w:t xml:space="preserve">possibly </w:t>
      </w:r>
      <w:r>
        <w:t>result in claimable savings.</w:t>
      </w:r>
      <w:bookmarkStart w:id="49" w:name="_Ref396831027"/>
    </w:p>
    <w:p w14:paraId="198B256B" w14:textId="77777777" w:rsidR="00394E30" w:rsidRDefault="00394E30" w:rsidP="00D33A4F">
      <w:pPr>
        <w:rPr>
          <w:rFonts w:ascii="Arial" w:hAnsi="Arial"/>
          <w:b/>
          <w:bCs/>
          <w:sz w:val="22"/>
          <w:szCs w:val="18"/>
        </w:rPr>
      </w:pPr>
    </w:p>
    <w:p w14:paraId="0A27422E" w14:textId="77777777" w:rsidR="00D33A4F" w:rsidRDefault="00D33A4F" w:rsidP="007070A9">
      <w:pPr>
        <w:pStyle w:val="Caption"/>
        <w:sectPr w:rsidR="00D33A4F" w:rsidSect="004C67E5">
          <w:headerReference w:type="default" r:id="rId41"/>
          <w:footerReference w:type="default" r:id="rId42"/>
          <w:pgSz w:w="12240" w:h="15840"/>
          <w:pgMar w:top="1440" w:right="1440" w:bottom="1440" w:left="1440" w:header="720" w:footer="720" w:gutter="0"/>
          <w:cols w:space="720"/>
          <w:docGrid w:linePitch="360"/>
        </w:sectPr>
      </w:pPr>
    </w:p>
    <w:p w14:paraId="1F229D0E" w14:textId="77777777" w:rsidR="007070A9" w:rsidRDefault="007070A9" w:rsidP="007070A9">
      <w:pPr>
        <w:pStyle w:val="Caption"/>
      </w:pPr>
      <w:bookmarkStart w:id="50" w:name="_Ref399859977"/>
      <w:bookmarkStart w:id="51" w:name="_Toc400007930"/>
      <w:r>
        <w:lastRenderedPageBreak/>
        <w:t xml:space="preserve">Table </w:t>
      </w:r>
      <w:fldSimple w:instr=" SEQ Table \* ARABIC ">
        <w:r w:rsidR="00302A02">
          <w:rPr>
            <w:noProof/>
          </w:rPr>
          <w:t>6</w:t>
        </w:r>
      </w:fldSimple>
      <w:bookmarkEnd w:id="49"/>
      <w:bookmarkEnd w:id="50"/>
      <w:r>
        <w:t>: Energy Savings Opportunities – Network Equipment</w:t>
      </w:r>
      <w:bookmarkEnd w:id="51"/>
    </w:p>
    <w:tbl>
      <w:tblPr>
        <w:tblStyle w:val="TableGrid"/>
        <w:tblW w:w="12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2"/>
        <w:gridCol w:w="2070"/>
        <w:gridCol w:w="1350"/>
        <w:gridCol w:w="5310"/>
        <w:gridCol w:w="2681"/>
      </w:tblGrid>
      <w:tr w:rsidR="00805101" w:rsidRPr="001B05A5" w14:paraId="36AB2555" w14:textId="77777777" w:rsidTr="00A25870">
        <w:trPr>
          <w:cantSplit/>
          <w:tblHeader/>
          <w:jc w:val="center"/>
        </w:trPr>
        <w:tc>
          <w:tcPr>
            <w:tcW w:w="1512" w:type="dxa"/>
            <w:tcBorders>
              <w:top w:val="single" w:sz="12" w:space="0" w:color="auto"/>
              <w:bottom w:val="double" w:sz="4" w:space="0" w:color="auto"/>
            </w:tcBorders>
            <w:vAlign w:val="center"/>
          </w:tcPr>
          <w:p w14:paraId="0DEFDA5C" w14:textId="77777777" w:rsidR="00805101" w:rsidRPr="001B05A5" w:rsidRDefault="00805101" w:rsidP="00F43304">
            <w:pPr>
              <w:spacing w:after="0"/>
              <w:jc w:val="left"/>
              <w:rPr>
                <w:b/>
                <w:sz w:val="18"/>
                <w:szCs w:val="18"/>
              </w:rPr>
            </w:pPr>
            <w:r>
              <w:rPr>
                <w:b/>
                <w:sz w:val="18"/>
                <w:szCs w:val="18"/>
              </w:rPr>
              <w:t>Savings Measure</w:t>
            </w:r>
          </w:p>
        </w:tc>
        <w:tc>
          <w:tcPr>
            <w:tcW w:w="2070" w:type="dxa"/>
            <w:tcBorders>
              <w:top w:val="single" w:sz="12" w:space="0" w:color="auto"/>
              <w:bottom w:val="double" w:sz="4" w:space="0" w:color="auto"/>
            </w:tcBorders>
            <w:vAlign w:val="center"/>
          </w:tcPr>
          <w:p w14:paraId="4598BEB5" w14:textId="77777777" w:rsidR="00805101" w:rsidRPr="001B05A5" w:rsidRDefault="00805101" w:rsidP="00F32829">
            <w:pPr>
              <w:spacing w:after="0"/>
              <w:jc w:val="left"/>
              <w:rPr>
                <w:b/>
                <w:sz w:val="18"/>
                <w:szCs w:val="18"/>
              </w:rPr>
            </w:pPr>
            <w:r>
              <w:rPr>
                <w:b/>
                <w:sz w:val="18"/>
                <w:szCs w:val="18"/>
              </w:rPr>
              <w:t>Description</w:t>
            </w:r>
          </w:p>
        </w:tc>
        <w:tc>
          <w:tcPr>
            <w:tcW w:w="1350" w:type="dxa"/>
            <w:tcBorders>
              <w:top w:val="single" w:sz="12" w:space="0" w:color="auto"/>
              <w:bottom w:val="double" w:sz="4" w:space="0" w:color="auto"/>
            </w:tcBorders>
            <w:vAlign w:val="center"/>
          </w:tcPr>
          <w:p w14:paraId="0FD903F1" w14:textId="77777777" w:rsidR="00805101" w:rsidRPr="001B05A5" w:rsidRDefault="00805101" w:rsidP="007070A9">
            <w:pPr>
              <w:spacing w:after="0"/>
              <w:jc w:val="left"/>
              <w:rPr>
                <w:b/>
                <w:sz w:val="18"/>
                <w:szCs w:val="18"/>
              </w:rPr>
            </w:pPr>
            <w:r>
              <w:rPr>
                <w:b/>
                <w:sz w:val="18"/>
                <w:szCs w:val="18"/>
              </w:rPr>
              <w:t xml:space="preserve">Estimated </w:t>
            </w:r>
            <w:r w:rsidRPr="001B05A5">
              <w:rPr>
                <w:b/>
                <w:sz w:val="18"/>
                <w:szCs w:val="18"/>
              </w:rPr>
              <w:t>Savings Potential</w:t>
            </w:r>
          </w:p>
        </w:tc>
        <w:tc>
          <w:tcPr>
            <w:tcW w:w="5310" w:type="dxa"/>
            <w:tcBorders>
              <w:top w:val="single" w:sz="12" w:space="0" w:color="auto"/>
              <w:bottom w:val="double" w:sz="4" w:space="0" w:color="auto"/>
            </w:tcBorders>
            <w:vAlign w:val="center"/>
          </w:tcPr>
          <w:p w14:paraId="1378F465" w14:textId="77777777" w:rsidR="00805101" w:rsidRDefault="00805101" w:rsidP="007070A9">
            <w:pPr>
              <w:spacing w:after="0"/>
              <w:jc w:val="left"/>
              <w:rPr>
                <w:b/>
                <w:sz w:val="18"/>
                <w:szCs w:val="18"/>
              </w:rPr>
            </w:pPr>
            <w:r>
              <w:rPr>
                <w:b/>
                <w:sz w:val="18"/>
                <w:szCs w:val="18"/>
              </w:rPr>
              <w:t>Assumptions for Savings Estimates</w:t>
            </w:r>
          </w:p>
        </w:tc>
        <w:tc>
          <w:tcPr>
            <w:tcW w:w="2681" w:type="dxa"/>
            <w:tcBorders>
              <w:left w:val="single" w:sz="12" w:space="0" w:color="auto"/>
              <w:bottom w:val="double" w:sz="4" w:space="0" w:color="auto"/>
            </w:tcBorders>
            <w:vAlign w:val="center"/>
          </w:tcPr>
          <w:p w14:paraId="224470E1" w14:textId="77777777" w:rsidR="00805101" w:rsidRPr="001B05A5" w:rsidRDefault="00805101" w:rsidP="007070A9">
            <w:pPr>
              <w:spacing w:after="0"/>
              <w:jc w:val="left"/>
              <w:rPr>
                <w:b/>
                <w:sz w:val="18"/>
                <w:szCs w:val="18"/>
              </w:rPr>
            </w:pPr>
            <w:r>
              <w:rPr>
                <w:b/>
                <w:sz w:val="18"/>
                <w:szCs w:val="18"/>
              </w:rPr>
              <w:t>Suggestions or Example(s) of Implementation Strategies</w:t>
            </w:r>
          </w:p>
        </w:tc>
      </w:tr>
      <w:tr w:rsidR="00805101" w:rsidRPr="001B05A5" w14:paraId="26B978B9" w14:textId="77777777" w:rsidTr="00A25870">
        <w:trPr>
          <w:cantSplit/>
          <w:jc w:val="center"/>
        </w:trPr>
        <w:tc>
          <w:tcPr>
            <w:tcW w:w="1512" w:type="dxa"/>
            <w:tcBorders>
              <w:top w:val="double" w:sz="4" w:space="0" w:color="auto"/>
              <w:bottom w:val="single" w:sz="4" w:space="0" w:color="auto"/>
            </w:tcBorders>
            <w:shd w:val="pct10" w:color="auto" w:fill="auto"/>
            <w:vAlign w:val="center"/>
          </w:tcPr>
          <w:p w14:paraId="5EC3ED31" w14:textId="77777777" w:rsidR="00805101" w:rsidRDefault="00805101" w:rsidP="004930D8">
            <w:pPr>
              <w:spacing w:after="0"/>
              <w:jc w:val="left"/>
              <w:rPr>
                <w:sz w:val="18"/>
                <w:szCs w:val="18"/>
              </w:rPr>
            </w:pPr>
            <w:r>
              <w:rPr>
                <w:sz w:val="18"/>
                <w:szCs w:val="18"/>
              </w:rPr>
              <w:t>1) Advanced Power Reduction Measures</w:t>
            </w:r>
          </w:p>
        </w:tc>
        <w:tc>
          <w:tcPr>
            <w:tcW w:w="2070" w:type="dxa"/>
            <w:tcBorders>
              <w:top w:val="double" w:sz="4" w:space="0" w:color="auto"/>
              <w:bottom w:val="single" w:sz="4" w:space="0" w:color="auto"/>
            </w:tcBorders>
            <w:shd w:val="pct10" w:color="auto" w:fill="auto"/>
            <w:vAlign w:val="center"/>
          </w:tcPr>
          <w:p w14:paraId="1D6F5D4D" w14:textId="77777777" w:rsidR="00805101" w:rsidRDefault="00805101" w:rsidP="00F32829">
            <w:pPr>
              <w:spacing w:after="0"/>
              <w:jc w:val="left"/>
              <w:rPr>
                <w:sz w:val="18"/>
                <w:szCs w:val="18"/>
              </w:rPr>
            </w:pPr>
            <w:r>
              <w:rPr>
                <w:sz w:val="18"/>
                <w:szCs w:val="18"/>
              </w:rPr>
              <w:t>Design devices to reduce overall power needs using power islands, voltage scaling, etc.</w:t>
            </w:r>
            <w:r w:rsidR="0077641D">
              <w:rPr>
                <w:sz w:val="18"/>
                <w:szCs w:val="18"/>
              </w:rPr>
              <w:t>,</w:t>
            </w:r>
            <w:r>
              <w:rPr>
                <w:sz w:val="18"/>
                <w:szCs w:val="18"/>
              </w:rPr>
              <w:t xml:space="preserve"> so that only the required amount of energy to perform the activity at hand is drawn.</w:t>
            </w:r>
          </w:p>
        </w:tc>
        <w:tc>
          <w:tcPr>
            <w:tcW w:w="1350" w:type="dxa"/>
            <w:tcBorders>
              <w:top w:val="double" w:sz="4" w:space="0" w:color="auto"/>
              <w:bottom w:val="single" w:sz="4" w:space="0" w:color="auto"/>
            </w:tcBorders>
            <w:shd w:val="pct10" w:color="auto" w:fill="auto"/>
            <w:vAlign w:val="center"/>
          </w:tcPr>
          <w:p w14:paraId="545B070C" w14:textId="77777777" w:rsidR="00805101" w:rsidRDefault="00805101" w:rsidP="004930D8">
            <w:pPr>
              <w:spacing w:after="0"/>
              <w:jc w:val="left"/>
              <w:rPr>
                <w:sz w:val="18"/>
                <w:szCs w:val="18"/>
              </w:rPr>
            </w:pPr>
            <w:r>
              <w:rPr>
                <w:sz w:val="18"/>
                <w:szCs w:val="18"/>
              </w:rPr>
              <w:t>47</w:t>
            </w:r>
            <w:r w:rsidR="0077641D">
              <w:rPr>
                <w:sz w:val="18"/>
                <w:szCs w:val="18"/>
              </w:rPr>
              <w:t xml:space="preserve"> </w:t>
            </w:r>
            <w:r>
              <w:rPr>
                <w:sz w:val="18"/>
                <w:szCs w:val="18"/>
              </w:rPr>
              <w:t xml:space="preserve">kWh/year or 80% savings in average UEC of </w:t>
            </w:r>
            <w:r w:rsidRPr="00421443">
              <w:rPr>
                <w:sz w:val="18"/>
                <w:szCs w:val="18"/>
              </w:rPr>
              <w:t>devices</w:t>
            </w:r>
          </w:p>
        </w:tc>
        <w:tc>
          <w:tcPr>
            <w:tcW w:w="5310" w:type="dxa"/>
            <w:tcBorders>
              <w:top w:val="double" w:sz="4" w:space="0" w:color="auto"/>
              <w:bottom w:val="single" w:sz="4" w:space="0" w:color="auto"/>
            </w:tcBorders>
            <w:shd w:val="pct10" w:color="auto" w:fill="auto"/>
            <w:vAlign w:val="center"/>
          </w:tcPr>
          <w:p w14:paraId="432A3A6A" w14:textId="77777777" w:rsidR="00805101" w:rsidRDefault="00805101" w:rsidP="000532F8">
            <w:pPr>
              <w:spacing w:after="0"/>
              <w:jc w:val="left"/>
              <w:rPr>
                <w:sz w:val="18"/>
                <w:szCs w:val="18"/>
              </w:rPr>
            </w:pPr>
            <w:r>
              <w:rPr>
                <w:sz w:val="18"/>
                <w:szCs w:val="18"/>
              </w:rPr>
              <w:t xml:space="preserve">-NRDC reported that reducing overall power needs through using power islands, voltage scaling, and other technological adjustment </w:t>
            </w:r>
            <w:r>
              <w:rPr>
                <w:sz w:val="18"/>
                <w:szCs w:val="18"/>
              </w:rPr>
              <w:br/>
              <w:t>could save up to 80% of network equipment system power.</w:t>
            </w:r>
          </w:p>
          <w:p w14:paraId="460FD34B" w14:textId="77777777" w:rsidR="00805101" w:rsidRDefault="00805101" w:rsidP="004930D8">
            <w:pPr>
              <w:spacing w:after="0"/>
              <w:jc w:val="left"/>
              <w:rPr>
                <w:sz w:val="18"/>
                <w:szCs w:val="18"/>
              </w:rPr>
            </w:pPr>
          </w:p>
          <w:p w14:paraId="6829B577" w14:textId="77777777" w:rsidR="00805101" w:rsidRDefault="00805101" w:rsidP="000532F8">
            <w:pPr>
              <w:spacing w:after="0"/>
              <w:jc w:val="left"/>
              <w:rPr>
                <w:sz w:val="18"/>
                <w:szCs w:val="18"/>
              </w:rPr>
            </w:pPr>
            <w:r>
              <w:rPr>
                <w:sz w:val="18"/>
                <w:szCs w:val="18"/>
              </w:rPr>
              <w:t>-By weighting the network equipment devices’ UECs by the number of units for each device type in the country (provided by NRDC), NMR estimated that the average network equipment device UEC is currently 59</w:t>
            </w:r>
            <w:r w:rsidR="0077641D">
              <w:rPr>
                <w:sz w:val="18"/>
                <w:szCs w:val="18"/>
              </w:rPr>
              <w:t xml:space="preserve"> </w:t>
            </w:r>
            <w:r>
              <w:rPr>
                <w:sz w:val="18"/>
                <w:szCs w:val="18"/>
              </w:rPr>
              <w:t>kWh/year.</w:t>
            </w:r>
          </w:p>
        </w:tc>
        <w:tc>
          <w:tcPr>
            <w:tcW w:w="2681" w:type="dxa"/>
            <w:tcBorders>
              <w:top w:val="double" w:sz="4" w:space="0" w:color="auto"/>
              <w:left w:val="single" w:sz="12" w:space="0" w:color="auto"/>
              <w:bottom w:val="single" w:sz="4" w:space="0" w:color="auto"/>
            </w:tcBorders>
            <w:shd w:val="pct10" w:color="auto" w:fill="auto"/>
            <w:vAlign w:val="center"/>
          </w:tcPr>
          <w:p w14:paraId="2323928A" w14:textId="77777777" w:rsidR="00805101" w:rsidRPr="001B05A5" w:rsidRDefault="00805101" w:rsidP="00183B3E">
            <w:pPr>
              <w:spacing w:after="0"/>
              <w:jc w:val="left"/>
              <w:rPr>
                <w:sz w:val="18"/>
                <w:szCs w:val="18"/>
              </w:rPr>
            </w:pPr>
            <w:r>
              <w:rPr>
                <w:sz w:val="18"/>
                <w:szCs w:val="18"/>
              </w:rPr>
              <w:t>Partnership with policymakers, specification and standard setting entities, and manufacturers (non-incentive based)</w:t>
            </w:r>
          </w:p>
        </w:tc>
      </w:tr>
      <w:tr w:rsidR="00805101" w:rsidRPr="001B05A5" w14:paraId="3030283B" w14:textId="77777777" w:rsidTr="00A25870">
        <w:trPr>
          <w:cantSplit/>
          <w:jc w:val="center"/>
        </w:trPr>
        <w:tc>
          <w:tcPr>
            <w:tcW w:w="1512" w:type="dxa"/>
            <w:tcBorders>
              <w:top w:val="single" w:sz="4" w:space="0" w:color="auto"/>
            </w:tcBorders>
            <w:vAlign w:val="center"/>
          </w:tcPr>
          <w:p w14:paraId="34591AB6" w14:textId="77777777" w:rsidR="00805101" w:rsidRPr="00931D8E" w:rsidRDefault="00805101" w:rsidP="004930D8">
            <w:pPr>
              <w:spacing w:after="0"/>
              <w:jc w:val="left"/>
              <w:rPr>
                <w:sz w:val="18"/>
                <w:szCs w:val="18"/>
              </w:rPr>
            </w:pPr>
            <w:r>
              <w:rPr>
                <w:sz w:val="18"/>
                <w:szCs w:val="18"/>
              </w:rPr>
              <w:t>2) Current Fleet Replacement</w:t>
            </w:r>
          </w:p>
        </w:tc>
        <w:tc>
          <w:tcPr>
            <w:tcW w:w="2070" w:type="dxa"/>
            <w:tcBorders>
              <w:top w:val="single" w:sz="4" w:space="0" w:color="auto"/>
            </w:tcBorders>
            <w:vAlign w:val="center"/>
          </w:tcPr>
          <w:p w14:paraId="59629939" w14:textId="77777777" w:rsidR="00805101" w:rsidRPr="00745DD9" w:rsidRDefault="00805101" w:rsidP="00F32829">
            <w:pPr>
              <w:spacing w:after="0"/>
              <w:jc w:val="left"/>
              <w:rPr>
                <w:sz w:val="18"/>
                <w:szCs w:val="18"/>
              </w:rPr>
            </w:pPr>
            <w:r w:rsidRPr="00A25870">
              <w:rPr>
                <w:sz w:val="18"/>
                <w:szCs w:val="18"/>
              </w:rPr>
              <w:t>Replace inefficient installed network equipment with equipment equivalent to the top 25% of current equipment.</w:t>
            </w:r>
          </w:p>
        </w:tc>
        <w:tc>
          <w:tcPr>
            <w:tcW w:w="1350" w:type="dxa"/>
            <w:tcBorders>
              <w:top w:val="single" w:sz="4" w:space="0" w:color="auto"/>
            </w:tcBorders>
            <w:vAlign w:val="center"/>
          </w:tcPr>
          <w:p w14:paraId="369D0922" w14:textId="77777777" w:rsidR="00805101" w:rsidRPr="001B05A5" w:rsidRDefault="00805101" w:rsidP="004930D8">
            <w:pPr>
              <w:spacing w:after="0"/>
              <w:jc w:val="left"/>
              <w:rPr>
                <w:sz w:val="18"/>
                <w:szCs w:val="18"/>
              </w:rPr>
            </w:pPr>
            <w:r>
              <w:rPr>
                <w:sz w:val="18"/>
                <w:szCs w:val="18"/>
              </w:rPr>
              <w:t>20</w:t>
            </w:r>
            <w:r w:rsidR="0077641D">
              <w:rPr>
                <w:sz w:val="18"/>
                <w:szCs w:val="18"/>
              </w:rPr>
              <w:t xml:space="preserve"> </w:t>
            </w:r>
            <w:r>
              <w:rPr>
                <w:sz w:val="18"/>
                <w:szCs w:val="18"/>
              </w:rPr>
              <w:t xml:space="preserve">kWh/year or 34% savings in average UEC of </w:t>
            </w:r>
            <w:r w:rsidRPr="00745DD9">
              <w:rPr>
                <w:sz w:val="18"/>
                <w:szCs w:val="18"/>
              </w:rPr>
              <w:t>installed</w:t>
            </w:r>
            <w:r>
              <w:rPr>
                <w:sz w:val="18"/>
                <w:szCs w:val="18"/>
              </w:rPr>
              <w:t xml:space="preserve"> devices </w:t>
            </w:r>
          </w:p>
        </w:tc>
        <w:tc>
          <w:tcPr>
            <w:tcW w:w="5310" w:type="dxa"/>
            <w:tcBorders>
              <w:top w:val="single" w:sz="4" w:space="0" w:color="auto"/>
            </w:tcBorders>
            <w:vAlign w:val="center"/>
          </w:tcPr>
          <w:p w14:paraId="417426A2" w14:textId="77777777" w:rsidR="00805101" w:rsidRDefault="00805101" w:rsidP="004930D8">
            <w:pPr>
              <w:spacing w:after="0"/>
              <w:jc w:val="left"/>
              <w:rPr>
                <w:sz w:val="18"/>
                <w:szCs w:val="18"/>
              </w:rPr>
            </w:pPr>
            <w:r>
              <w:rPr>
                <w:sz w:val="18"/>
                <w:szCs w:val="18"/>
              </w:rPr>
              <w:t>-NRDC reported that if the average network equipment device were as efficient as the 25% top efficient devices</w:t>
            </w:r>
            <w:r w:rsidR="0077641D">
              <w:rPr>
                <w:sz w:val="18"/>
                <w:szCs w:val="18"/>
              </w:rPr>
              <w:t>,</w:t>
            </w:r>
            <w:r>
              <w:rPr>
                <w:sz w:val="18"/>
                <w:szCs w:val="18"/>
              </w:rPr>
              <w:t xml:space="preserve"> the total network equipment consumption would decrease by 2.8</w:t>
            </w:r>
            <w:r w:rsidR="0077641D">
              <w:rPr>
                <w:sz w:val="18"/>
                <w:szCs w:val="18"/>
              </w:rPr>
              <w:t xml:space="preserve"> </w:t>
            </w:r>
            <w:r>
              <w:rPr>
                <w:sz w:val="18"/>
                <w:szCs w:val="18"/>
              </w:rPr>
              <w:t>TWh/year from 8.3</w:t>
            </w:r>
            <w:r w:rsidR="0077641D">
              <w:rPr>
                <w:sz w:val="18"/>
                <w:szCs w:val="18"/>
              </w:rPr>
              <w:t xml:space="preserve"> </w:t>
            </w:r>
            <w:r>
              <w:rPr>
                <w:sz w:val="18"/>
                <w:szCs w:val="18"/>
              </w:rPr>
              <w:t>TWh/year. This represents a 34% savings.</w:t>
            </w:r>
          </w:p>
          <w:p w14:paraId="1FFAE10E" w14:textId="77777777" w:rsidR="00805101" w:rsidRDefault="00805101" w:rsidP="004930D8">
            <w:pPr>
              <w:spacing w:after="0"/>
              <w:jc w:val="left"/>
              <w:rPr>
                <w:sz w:val="18"/>
                <w:szCs w:val="18"/>
              </w:rPr>
            </w:pPr>
          </w:p>
          <w:p w14:paraId="7698A582" w14:textId="77777777" w:rsidR="00805101" w:rsidRDefault="00805101" w:rsidP="00745DD9">
            <w:pPr>
              <w:spacing w:after="0"/>
              <w:jc w:val="left"/>
              <w:rPr>
                <w:sz w:val="18"/>
                <w:szCs w:val="18"/>
              </w:rPr>
            </w:pPr>
            <w:r>
              <w:rPr>
                <w:sz w:val="18"/>
                <w:szCs w:val="18"/>
              </w:rPr>
              <w:t>-NMR applied that percentage to its weighted average annual UEC 59</w:t>
            </w:r>
            <w:r w:rsidR="0077641D">
              <w:rPr>
                <w:sz w:val="18"/>
                <w:szCs w:val="18"/>
              </w:rPr>
              <w:t xml:space="preserve"> </w:t>
            </w:r>
            <w:r>
              <w:rPr>
                <w:sz w:val="18"/>
                <w:szCs w:val="18"/>
              </w:rPr>
              <w:t>kWh/year of the current fleet of installed network equipment.*</w:t>
            </w:r>
          </w:p>
        </w:tc>
        <w:tc>
          <w:tcPr>
            <w:tcW w:w="2681" w:type="dxa"/>
            <w:tcBorders>
              <w:top w:val="single" w:sz="4" w:space="0" w:color="auto"/>
              <w:left w:val="single" w:sz="12" w:space="0" w:color="auto"/>
            </w:tcBorders>
            <w:vAlign w:val="center"/>
          </w:tcPr>
          <w:p w14:paraId="59125ABF" w14:textId="77777777" w:rsidR="00805101" w:rsidRPr="001B05A5" w:rsidRDefault="00805101" w:rsidP="00183B3E">
            <w:pPr>
              <w:spacing w:after="0"/>
              <w:jc w:val="left"/>
              <w:rPr>
                <w:sz w:val="18"/>
                <w:szCs w:val="18"/>
              </w:rPr>
            </w:pPr>
            <w:r>
              <w:rPr>
                <w:sz w:val="18"/>
                <w:szCs w:val="18"/>
              </w:rPr>
              <w:t>Midstream and downstream incentives for purchasing/selling the highest efficiency equipment; equipment recycling program</w:t>
            </w:r>
          </w:p>
        </w:tc>
      </w:tr>
      <w:tr w:rsidR="00805101" w:rsidRPr="001B05A5" w14:paraId="1F74FBFD" w14:textId="77777777" w:rsidTr="00805101">
        <w:trPr>
          <w:cantSplit/>
          <w:jc w:val="center"/>
        </w:trPr>
        <w:tc>
          <w:tcPr>
            <w:tcW w:w="1512" w:type="dxa"/>
            <w:vAlign w:val="center"/>
          </w:tcPr>
          <w:p w14:paraId="428426EA" w14:textId="77777777" w:rsidR="00805101" w:rsidRPr="00931D8E" w:rsidRDefault="00805101" w:rsidP="004930D8">
            <w:pPr>
              <w:spacing w:after="0"/>
              <w:jc w:val="left"/>
              <w:rPr>
                <w:sz w:val="18"/>
                <w:szCs w:val="18"/>
              </w:rPr>
            </w:pPr>
            <w:r>
              <w:rPr>
                <w:sz w:val="18"/>
                <w:szCs w:val="18"/>
              </w:rPr>
              <w:t>3) Energy Efficient Ethernet (EEE)</w:t>
            </w:r>
          </w:p>
        </w:tc>
        <w:tc>
          <w:tcPr>
            <w:tcW w:w="2070" w:type="dxa"/>
            <w:vAlign w:val="center"/>
          </w:tcPr>
          <w:p w14:paraId="62D5C3C9" w14:textId="77777777" w:rsidR="00805101" w:rsidRPr="00A25870" w:rsidRDefault="00805101" w:rsidP="00F32829">
            <w:pPr>
              <w:spacing w:after="0"/>
              <w:jc w:val="left"/>
            </w:pPr>
            <w:r w:rsidRPr="00A25870">
              <w:rPr>
                <w:sz w:val="18"/>
                <w:szCs w:val="18"/>
              </w:rPr>
              <w:t>Use EEE to enable systems to enter sleep mode whenever power is not needed.</w:t>
            </w:r>
          </w:p>
        </w:tc>
        <w:tc>
          <w:tcPr>
            <w:tcW w:w="1350" w:type="dxa"/>
            <w:vAlign w:val="center"/>
          </w:tcPr>
          <w:p w14:paraId="3DC4DB9F" w14:textId="77777777" w:rsidR="00805101" w:rsidRDefault="00805101" w:rsidP="004930D8">
            <w:pPr>
              <w:spacing w:after="0"/>
              <w:jc w:val="left"/>
              <w:rPr>
                <w:sz w:val="18"/>
                <w:szCs w:val="18"/>
              </w:rPr>
            </w:pPr>
            <w:r>
              <w:rPr>
                <w:sz w:val="18"/>
                <w:szCs w:val="18"/>
              </w:rPr>
              <w:t>3-12</w:t>
            </w:r>
            <w:r w:rsidR="0077641D">
              <w:rPr>
                <w:sz w:val="18"/>
                <w:szCs w:val="18"/>
              </w:rPr>
              <w:t xml:space="preserve"> </w:t>
            </w:r>
            <w:r>
              <w:rPr>
                <w:sz w:val="18"/>
                <w:szCs w:val="18"/>
              </w:rPr>
              <w:t xml:space="preserve">kWh/year or 5-20% savings in average UEC of </w:t>
            </w:r>
            <w:r w:rsidRPr="00421443">
              <w:rPr>
                <w:sz w:val="18"/>
                <w:szCs w:val="18"/>
              </w:rPr>
              <w:t>devices</w:t>
            </w:r>
          </w:p>
        </w:tc>
        <w:tc>
          <w:tcPr>
            <w:tcW w:w="5310" w:type="dxa"/>
            <w:vAlign w:val="center"/>
          </w:tcPr>
          <w:p w14:paraId="442A484A" w14:textId="77777777" w:rsidR="00805101" w:rsidRDefault="00805101" w:rsidP="004930D8">
            <w:pPr>
              <w:spacing w:after="0"/>
              <w:jc w:val="left"/>
              <w:rPr>
                <w:sz w:val="18"/>
                <w:szCs w:val="18"/>
              </w:rPr>
            </w:pPr>
            <w:r>
              <w:rPr>
                <w:sz w:val="18"/>
                <w:szCs w:val="18"/>
              </w:rPr>
              <w:t>-NRDC reported that EEE technology could save 5-20% in savings.</w:t>
            </w:r>
          </w:p>
          <w:p w14:paraId="25241D72" w14:textId="77777777" w:rsidR="00805101" w:rsidRDefault="00805101" w:rsidP="004930D8">
            <w:pPr>
              <w:spacing w:after="0"/>
              <w:jc w:val="left"/>
              <w:rPr>
                <w:sz w:val="18"/>
                <w:szCs w:val="18"/>
              </w:rPr>
            </w:pPr>
          </w:p>
          <w:p w14:paraId="758A5ABA" w14:textId="77777777" w:rsidR="00805101" w:rsidRPr="001B05A5" w:rsidRDefault="00805101" w:rsidP="00745DD9">
            <w:pPr>
              <w:spacing w:after="0"/>
              <w:jc w:val="left"/>
              <w:rPr>
                <w:sz w:val="18"/>
                <w:szCs w:val="18"/>
              </w:rPr>
            </w:pPr>
            <w:r>
              <w:rPr>
                <w:sz w:val="18"/>
                <w:szCs w:val="18"/>
              </w:rPr>
              <w:t>-NMR applied those percentages to its weighted average annual UEC 59</w:t>
            </w:r>
            <w:r w:rsidR="0077641D">
              <w:rPr>
                <w:sz w:val="18"/>
                <w:szCs w:val="18"/>
              </w:rPr>
              <w:t xml:space="preserve"> </w:t>
            </w:r>
            <w:r>
              <w:rPr>
                <w:sz w:val="18"/>
                <w:szCs w:val="18"/>
              </w:rPr>
              <w:t>kWh/year of the current fleet of installed network equipment.*</w:t>
            </w:r>
          </w:p>
        </w:tc>
        <w:tc>
          <w:tcPr>
            <w:tcW w:w="2681" w:type="dxa"/>
            <w:tcBorders>
              <w:left w:val="single" w:sz="12" w:space="0" w:color="auto"/>
            </w:tcBorders>
            <w:vAlign w:val="center"/>
          </w:tcPr>
          <w:p w14:paraId="57C79A3D" w14:textId="77777777" w:rsidR="00805101" w:rsidRPr="001B05A5" w:rsidRDefault="00805101" w:rsidP="005A7C39">
            <w:pPr>
              <w:spacing w:after="0"/>
              <w:jc w:val="left"/>
              <w:rPr>
                <w:sz w:val="18"/>
                <w:szCs w:val="18"/>
              </w:rPr>
            </w:pPr>
            <w:r>
              <w:rPr>
                <w:sz w:val="18"/>
                <w:szCs w:val="18"/>
              </w:rPr>
              <w:t>Midstream and downstream incentives for purchasing/selling equipment with EEE technology</w:t>
            </w:r>
          </w:p>
        </w:tc>
      </w:tr>
      <w:tr w:rsidR="00805101" w:rsidRPr="001B05A5" w14:paraId="67B227DB" w14:textId="77777777" w:rsidTr="00805101">
        <w:trPr>
          <w:cantSplit/>
          <w:jc w:val="center"/>
        </w:trPr>
        <w:tc>
          <w:tcPr>
            <w:tcW w:w="1512" w:type="dxa"/>
            <w:vAlign w:val="center"/>
          </w:tcPr>
          <w:p w14:paraId="65F3ECFA" w14:textId="77777777" w:rsidR="00805101" w:rsidRPr="001B05A5" w:rsidRDefault="00805101" w:rsidP="004930D8">
            <w:pPr>
              <w:spacing w:after="0"/>
              <w:jc w:val="left"/>
              <w:rPr>
                <w:sz w:val="18"/>
                <w:szCs w:val="18"/>
              </w:rPr>
            </w:pPr>
            <w:r>
              <w:rPr>
                <w:sz w:val="18"/>
                <w:szCs w:val="18"/>
              </w:rPr>
              <w:t>4) Labeled Models</w:t>
            </w:r>
          </w:p>
        </w:tc>
        <w:tc>
          <w:tcPr>
            <w:tcW w:w="2070" w:type="dxa"/>
            <w:vAlign w:val="center"/>
          </w:tcPr>
          <w:p w14:paraId="59D72B61" w14:textId="77777777" w:rsidR="00805101" w:rsidRPr="00A25870" w:rsidRDefault="00805101" w:rsidP="00F32829">
            <w:pPr>
              <w:spacing w:after="0"/>
              <w:jc w:val="left"/>
              <w:rPr>
                <w:sz w:val="18"/>
                <w:szCs w:val="18"/>
              </w:rPr>
            </w:pPr>
            <w:r w:rsidRPr="00A25870">
              <w:rPr>
                <w:sz w:val="18"/>
                <w:szCs w:val="18"/>
              </w:rPr>
              <w:t>Replace current devices with models meeting ENERGY STAR specifications or percentages above those specifications.</w:t>
            </w:r>
          </w:p>
        </w:tc>
        <w:tc>
          <w:tcPr>
            <w:tcW w:w="1350" w:type="dxa"/>
            <w:vAlign w:val="center"/>
          </w:tcPr>
          <w:p w14:paraId="2EA80C0B" w14:textId="77777777" w:rsidR="00805101" w:rsidRPr="001B05A5" w:rsidRDefault="00805101" w:rsidP="004930D8">
            <w:pPr>
              <w:spacing w:after="0"/>
              <w:jc w:val="left"/>
              <w:rPr>
                <w:sz w:val="18"/>
                <w:szCs w:val="18"/>
              </w:rPr>
            </w:pPr>
            <w:r>
              <w:rPr>
                <w:sz w:val="18"/>
                <w:szCs w:val="18"/>
              </w:rPr>
              <w:t>12</w:t>
            </w:r>
            <w:r w:rsidR="0077641D">
              <w:rPr>
                <w:sz w:val="18"/>
                <w:szCs w:val="18"/>
              </w:rPr>
              <w:t xml:space="preserve"> </w:t>
            </w:r>
            <w:r>
              <w:rPr>
                <w:sz w:val="18"/>
                <w:szCs w:val="18"/>
              </w:rPr>
              <w:t xml:space="preserve">kWh/year or 20% savings in average per unit UEC of </w:t>
            </w:r>
            <w:r w:rsidRPr="00421443">
              <w:rPr>
                <w:sz w:val="18"/>
                <w:szCs w:val="18"/>
              </w:rPr>
              <w:t>devices</w:t>
            </w:r>
          </w:p>
        </w:tc>
        <w:tc>
          <w:tcPr>
            <w:tcW w:w="5310" w:type="dxa"/>
            <w:vAlign w:val="center"/>
          </w:tcPr>
          <w:p w14:paraId="7FE2D9BC" w14:textId="77777777" w:rsidR="00805101" w:rsidRDefault="00805101" w:rsidP="004930D8">
            <w:pPr>
              <w:spacing w:after="0"/>
              <w:jc w:val="left"/>
              <w:rPr>
                <w:sz w:val="18"/>
                <w:szCs w:val="18"/>
              </w:rPr>
            </w:pPr>
            <w:r>
              <w:rPr>
                <w:sz w:val="18"/>
                <w:szCs w:val="18"/>
              </w:rPr>
              <w:t>-ENERGY STAR estimated that ENERGY STAR models represent a 20% savings over standard models.</w:t>
            </w:r>
          </w:p>
          <w:p w14:paraId="3CC7F609" w14:textId="77777777" w:rsidR="00805101" w:rsidRDefault="00805101" w:rsidP="004930D8">
            <w:pPr>
              <w:spacing w:after="0"/>
              <w:jc w:val="left"/>
              <w:rPr>
                <w:sz w:val="18"/>
                <w:szCs w:val="18"/>
              </w:rPr>
            </w:pPr>
          </w:p>
          <w:p w14:paraId="5E36911B" w14:textId="77777777" w:rsidR="00805101" w:rsidRPr="00BE7121" w:rsidRDefault="00805101" w:rsidP="00745DD9">
            <w:pPr>
              <w:spacing w:after="0"/>
              <w:jc w:val="left"/>
              <w:rPr>
                <w:sz w:val="18"/>
                <w:szCs w:val="18"/>
              </w:rPr>
            </w:pPr>
            <w:r>
              <w:rPr>
                <w:sz w:val="18"/>
                <w:szCs w:val="18"/>
              </w:rPr>
              <w:t>-NMR applied that percentage to its weighted average annual UEC 59</w:t>
            </w:r>
            <w:r w:rsidR="0077641D">
              <w:rPr>
                <w:sz w:val="18"/>
                <w:szCs w:val="18"/>
              </w:rPr>
              <w:t xml:space="preserve"> </w:t>
            </w:r>
            <w:r>
              <w:rPr>
                <w:sz w:val="18"/>
                <w:szCs w:val="18"/>
              </w:rPr>
              <w:t>kWh/year of the current fleet of installed network equipment.*</w:t>
            </w:r>
          </w:p>
        </w:tc>
        <w:tc>
          <w:tcPr>
            <w:tcW w:w="2681" w:type="dxa"/>
            <w:tcBorders>
              <w:left w:val="single" w:sz="12" w:space="0" w:color="auto"/>
            </w:tcBorders>
            <w:vAlign w:val="center"/>
          </w:tcPr>
          <w:p w14:paraId="6E69B0D7" w14:textId="77777777" w:rsidR="00805101" w:rsidRPr="001B05A5" w:rsidRDefault="00805101" w:rsidP="00183B3E">
            <w:pPr>
              <w:spacing w:after="0"/>
              <w:jc w:val="left"/>
              <w:rPr>
                <w:sz w:val="18"/>
                <w:szCs w:val="18"/>
              </w:rPr>
            </w:pPr>
            <w:r>
              <w:rPr>
                <w:sz w:val="18"/>
                <w:szCs w:val="18"/>
              </w:rPr>
              <w:t>Midstream and downstream incentives for purchasing/selling models meeting ENERGY STAR specifications or percentages above those specifications</w:t>
            </w:r>
          </w:p>
        </w:tc>
      </w:tr>
    </w:tbl>
    <w:p w14:paraId="38AFF139" w14:textId="77777777" w:rsidR="004C7AFD" w:rsidRPr="00E40E10" w:rsidRDefault="003E1C12" w:rsidP="00E40E10">
      <w:pPr>
        <w:spacing w:after="40" w:line="240" w:lineRule="auto"/>
        <w:rPr>
          <w:sz w:val="20"/>
          <w:szCs w:val="20"/>
        </w:rPr>
      </w:pPr>
      <w:r w:rsidRPr="00E40E10">
        <w:rPr>
          <w:i/>
          <w:sz w:val="20"/>
          <w:szCs w:val="20"/>
        </w:rPr>
        <w:t>Sources</w:t>
      </w:r>
      <w:r w:rsidRPr="00E40E10">
        <w:rPr>
          <w:sz w:val="20"/>
          <w:szCs w:val="20"/>
        </w:rPr>
        <w:t>: 1) NRDC. “Small Network Equipment Energy Consumption in US Homes: Using less energy to connect electronic devices.” NRDC Issue Paper. IP:</w:t>
      </w:r>
      <w:r w:rsidR="006C5A8A">
        <w:rPr>
          <w:sz w:val="20"/>
          <w:szCs w:val="20"/>
        </w:rPr>
        <w:t xml:space="preserve"> </w:t>
      </w:r>
      <w:r w:rsidRPr="00E40E10">
        <w:rPr>
          <w:sz w:val="20"/>
          <w:szCs w:val="20"/>
        </w:rPr>
        <w:t xml:space="preserve">13-0-B. June 2013. Accessed August 12, 2014. </w:t>
      </w:r>
      <w:hyperlink r:id="rId43" w:history="1">
        <w:r w:rsidRPr="00E40E10">
          <w:rPr>
            <w:rStyle w:val="Hyperlink"/>
            <w:sz w:val="20"/>
            <w:szCs w:val="20"/>
          </w:rPr>
          <w:t>http://www.nrdc.org/energy/files/residential-network-IP.pdf</w:t>
        </w:r>
      </w:hyperlink>
      <w:r w:rsidRPr="00E40E10">
        <w:rPr>
          <w:sz w:val="20"/>
          <w:szCs w:val="20"/>
        </w:rPr>
        <w:t xml:space="preserve"> 2) </w:t>
      </w:r>
      <w:r w:rsidR="004C7AFD" w:rsidRPr="00E40E10">
        <w:rPr>
          <w:sz w:val="20"/>
          <w:szCs w:val="20"/>
        </w:rPr>
        <w:t xml:space="preserve">ENERGY STAR. “Small Network Equipment for Consumers.”  </w:t>
      </w:r>
      <w:r w:rsidRPr="00E40E10">
        <w:rPr>
          <w:sz w:val="20"/>
          <w:szCs w:val="20"/>
        </w:rPr>
        <w:t xml:space="preserve">Accessed August 12, 2014. </w:t>
      </w:r>
      <w:hyperlink r:id="rId44" w:history="1">
        <w:r w:rsidRPr="00E40E10">
          <w:rPr>
            <w:rStyle w:val="Hyperlink"/>
            <w:sz w:val="20"/>
            <w:szCs w:val="20"/>
          </w:rPr>
          <w:t>http://www.energystar.gov/certified-products/detail/small_network_equipment</w:t>
        </w:r>
      </w:hyperlink>
    </w:p>
    <w:p w14:paraId="50C5EA6D" w14:textId="77777777" w:rsidR="00195F39" w:rsidRPr="00E40E10" w:rsidRDefault="00195F39" w:rsidP="00E40E10">
      <w:pPr>
        <w:spacing w:after="40" w:line="240" w:lineRule="auto"/>
        <w:jc w:val="left"/>
        <w:rPr>
          <w:sz w:val="20"/>
          <w:szCs w:val="20"/>
        </w:rPr>
      </w:pPr>
      <w:r w:rsidRPr="00E40E10">
        <w:rPr>
          <w:i/>
          <w:sz w:val="20"/>
          <w:szCs w:val="20"/>
        </w:rPr>
        <w:t xml:space="preserve">Note: </w:t>
      </w:r>
      <w:r w:rsidR="00462B98" w:rsidRPr="00E40E10">
        <w:rPr>
          <w:sz w:val="20"/>
          <w:szCs w:val="20"/>
        </w:rPr>
        <w:t xml:space="preserve">1) Measures shaded in grey are longer-term options; measures without shading are those </w:t>
      </w:r>
      <w:r w:rsidR="0077641D">
        <w:rPr>
          <w:sz w:val="20"/>
          <w:szCs w:val="20"/>
        </w:rPr>
        <w:t>that</w:t>
      </w:r>
      <w:r w:rsidR="00462B98" w:rsidRPr="00E40E10">
        <w:rPr>
          <w:sz w:val="20"/>
          <w:szCs w:val="20"/>
        </w:rPr>
        <w:t xml:space="preserve"> the Companies could implement in the shorter-term and </w:t>
      </w:r>
      <w:r w:rsidR="0077641D">
        <w:rPr>
          <w:sz w:val="20"/>
          <w:szCs w:val="20"/>
        </w:rPr>
        <w:t xml:space="preserve">that </w:t>
      </w:r>
      <w:r w:rsidR="00462B98" w:rsidRPr="00E40E10">
        <w:rPr>
          <w:sz w:val="20"/>
          <w:szCs w:val="20"/>
        </w:rPr>
        <w:t xml:space="preserve">do not require influencing manufacturers, legislators, or other entities. 2) </w:t>
      </w:r>
      <w:r w:rsidRPr="00E40E10">
        <w:rPr>
          <w:sz w:val="20"/>
          <w:szCs w:val="20"/>
        </w:rPr>
        <w:t xml:space="preserve">NMR calculated savings for measures using several secondary sources; </w:t>
      </w:r>
      <w:r w:rsidR="0077641D">
        <w:rPr>
          <w:sz w:val="20"/>
          <w:szCs w:val="20"/>
        </w:rPr>
        <w:t>therefore</w:t>
      </w:r>
      <w:r w:rsidRPr="00E40E10">
        <w:rPr>
          <w:sz w:val="20"/>
          <w:szCs w:val="20"/>
        </w:rPr>
        <w:t xml:space="preserve">, results </w:t>
      </w:r>
      <w:r w:rsidR="0077641D">
        <w:rPr>
          <w:sz w:val="20"/>
          <w:szCs w:val="20"/>
        </w:rPr>
        <w:t xml:space="preserve">should be interpreted </w:t>
      </w:r>
      <w:r w:rsidRPr="00E40E10">
        <w:rPr>
          <w:sz w:val="20"/>
          <w:szCs w:val="20"/>
        </w:rPr>
        <w:t xml:space="preserve">with caution. </w:t>
      </w:r>
      <w:r w:rsidR="00462B98" w:rsidRPr="00E40E10">
        <w:rPr>
          <w:sz w:val="20"/>
          <w:szCs w:val="20"/>
        </w:rPr>
        <w:t xml:space="preserve">3) </w:t>
      </w:r>
      <w:r w:rsidR="008419ED" w:rsidRPr="00E40E10">
        <w:rPr>
          <w:sz w:val="20"/>
          <w:szCs w:val="20"/>
        </w:rPr>
        <w:t>The</w:t>
      </w:r>
      <w:r w:rsidRPr="00E40E10">
        <w:rPr>
          <w:sz w:val="20"/>
          <w:szCs w:val="20"/>
        </w:rPr>
        <w:t xml:space="preserve"> implementation strategies</w:t>
      </w:r>
      <w:r w:rsidR="008419ED" w:rsidRPr="00E40E10">
        <w:rPr>
          <w:sz w:val="20"/>
          <w:szCs w:val="20"/>
        </w:rPr>
        <w:t xml:space="preserve"> reflect a mixture of suggestions from the literature and NMR’s own insights</w:t>
      </w:r>
      <w:r w:rsidRPr="00E40E10">
        <w:rPr>
          <w:sz w:val="20"/>
          <w:szCs w:val="20"/>
        </w:rPr>
        <w:t>.</w:t>
      </w:r>
    </w:p>
    <w:p w14:paraId="53BF45D1" w14:textId="77777777" w:rsidR="00E90EB4" w:rsidRDefault="00BB2B17" w:rsidP="00E40E10">
      <w:pPr>
        <w:spacing w:after="0" w:line="240" w:lineRule="auto"/>
      </w:pPr>
      <w:r w:rsidRPr="00E40E10">
        <w:rPr>
          <w:sz w:val="20"/>
          <w:szCs w:val="20"/>
        </w:rPr>
        <w:t>* NMR could not find UEC figures for units that exclude the population of product</w:t>
      </w:r>
      <w:r w:rsidR="00621B4F" w:rsidRPr="00E40E10">
        <w:rPr>
          <w:sz w:val="20"/>
          <w:szCs w:val="20"/>
        </w:rPr>
        <w:t>s</w:t>
      </w:r>
      <w:r w:rsidRPr="00E40E10">
        <w:rPr>
          <w:sz w:val="20"/>
          <w:szCs w:val="20"/>
        </w:rPr>
        <w:t xml:space="preserve"> with the specified efficiency level or technology integrated. Therefore, the average UEC of inefficient products may be higher and the measure listed could</w:t>
      </w:r>
      <w:r w:rsidR="00621B4F" w:rsidRPr="00E40E10">
        <w:rPr>
          <w:sz w:val="20"/>
          <w:szCs w:val="20"/>
        </w:rPr>
        <w:t xml:space="preserve"> re</w:t>
      </w:r>
      <w:r w:rsidRPr="00E40E10">
        <w:rPr>
          <w:sz w:val="20"/>
          <w:szCs w:val="20"/>
        </w:rPr>
        <w:t xml:space="preserve">present </w:t>
      </w:r>
      <w:r w:rsidR="00490A54" w:rsidRPr="00E40E10">
        <w:rPr>
          <w:sz w:val="20"/>
          <w:szCs w:val="20"/>
        </w:rPr>
        <w:t xml:space="preserve">greater </w:t>
      </w:r>
      <w:r w:rsidR="00621B4F" w:rsidRPr="00E40E10">
        <w:rPr>
          <w:sz w:val="20"/>
          <w:szCs w:val="20"/>
        </w:rPr>
        <w:t>saving</w:t>
      </w:r>
      <w:r w:rsidRPr="00E40E10">
        <w:rPr>
          <w:sz w:val="20"/>
          <w:szCs w:val="20"/>
        </w:rPr>
        <w:t xml:space="preserve"> </w:t>
      </w:r>
      <w:r w:rsidR="00621B4F" w:rsidRPr="00E40E10">
        <w:rPr>
          <w:sz w:val="20"/>
          <w:szCs w:val="20"/>
        </w:rPr>
        <w:t xml:space="preserve">(in terms of kWh) </w:t>
      </w:r>
      <w:r w:rsidRPr="00E40E10">
        <w:rPr>
          <w:sz w:val="20"/>
          <w:szCs w:val="20"/>
        </w:rPr>
        <w:t>than what is reported above.</w:t>
      </w:r>
    </w:p>
    <w:p w14:paraId="6BE6442E" w14:textId="77777777" w:rsidR="00F537F1" w:rsidRDefault="00F537F1" w:rsidP="00D33A4F">
      <w:pPr>
        <w:spacing w:after="0"/>
        <w:rPr>
          <w:rFonts w:ascii="Arial" w:eastAsiaTheme="majorEastAsia" w:hAnsi="Arial" w:cstheme="majorBidi"/>
          <w:b/>
          <w:bCs/>
          <w:sz w:val="28"/>
          <w:szCs w:val="26"/>
        </w:rPr>
      </w:pPr>
    </w:p>
    <w:p w14:paraId="7BD29012" w14:textId="77777777" w:rsidR="00D33A4F" w:rsidRDefault="00D33A4F" w:rsidP="00665E5F">
      <w:pPr>
        <w:pStyle w:val="Heading2"/>
        <w:sectPr w:rsidR="00D33A4F" w:rsidSect="004C67E5">
          <w:pgSz w:w="15840" w:h="12240" w:orient="landscape"/>
          <w:pgMar w:top="1440" w:right="1440" w:bottom="1440" w:left="1440" w:header="720" w:footer="720" w:gutter="0"/>
          <w:cols w:space="720"/>
          <w:docGrid w:linePitch="360"/>
        </w:sectPr>
      </w:pPr>
    </w:p>
    <w:p w14:paraId="57EDEA04" w14:textId="77777777" w:rsidR="00665E5F" w:rsidRDefault="00665E5F" w:rsidP="00665E5F">
      <w:pPr>
        <w:pStyle w:val="Heading2"/>
      </w:pPr>
      <w:bookmarkStart w:id="52" w:name="_Ref399765081"/>
      <w:bookmarkStart w:id="53" w:name="_Toc401667849"/>
      <w:r>
        <w:lastRenderedPageBreak/>
        <w:t>Game Consoles</w:t>
      </w:r>
      <w:bookmarkEnd w:id="52"/>
      <w:bookmarkEnd w:id="53"/>
    </w:p>
    <w:p w14:paraId="5D376F72" w14:textId="77777777" w:rsidR="0009297B" w:rsidRDefault="00F537F1" w:rsidP="006D3B97">
      <w:r>
        <w:fldChar w:fldCharType="begin"/>
      </w:r>
      <w:r>
        <w:instrText xml:space="preserve"> REF _Ref396751809 \h </w:instrText>
      </w:r>
      <w:r>
        <w:fldChar w:fldCharType="separate"/>
      </w:r>
      <w:r w:rsidR="00302A02" w:rsidRPr="00A41660">
        <w:t xml:space="preserve">Table </w:t>
      </w:r>
      <w:r w:rsidR="00302A02">
        <w:rPr>
          <w:noProof/>
        </w:rPr>
        <w:t>7</w:t>
      </w:r>
      <w:r>
        <w:fldChar w:fldCharType="end"/>
      </w:r>
      <w:r>
        <w:t xml:space="preserve"> </w:t>
      </w:r>
      <w:r w:rsidR="006D3B97">
        <w:t xml:space="preserve">shows energy savings measures for game consoles. The team primarily </w:t>
      </w:r>
      <w:r w:rsidR="008469A8">
        <w:t>reported</w:t>
      </w:r>
      <w:r w:rsidR="006D3B97">
        <w:t xml:space="preserve"> on NRDC’s findings investigating technical changes that could be made to increase the efficiency of </w:t>
      </w:r>
      <w:r w:rsidR="006D3B97" w:rsidRPr="00D33CDC">
        <w:rPr>
          <w:i/>
        </w:rPr>
        <w:t>Xbox One</w:t>
      </w:r>
      <w:r w:rsidR="006D3B97">
        <w:t xml:space="preserve"> (Xbox) and </w:t>
      </w:r>
      <w:r w:rsidR="006D3B97" w:rsidRPr="00D33CDC">
        <w:rPr>
          <w:i/>
        </w:rPr>
        <w:t>PlayStation 4</w:t>
      </w:r>
      <w:r w:rsidR="006D3B97">
        <w:t xml:space="preserve"> (PS4). </w:t>
      </w:r>
      <w:r w:rsidR="00101789">
        <w:t xml:space="preserve">All of the </w:t>
      </w:r>
      <w:r w:rsidR="006D3B97">
        <w:t xml:space="preserve">measures to increase the efficiency of game consoles </w:t>
      </w:r>
      <w:r w:rsidR="00101789">
        <w:t>could</w:t>
      </w:r>
      <w:r w:rsidR="006D3B97">
        <w:t xml:space="preserve"> be made on the manufacturer’s end</w:t>
      </w:r>
      <w:r w:rsidR="0009297B">
        <w:t xml:space="preserve">, but nearly all </w:t>
      </w:r>
      <w:r w:rsidR="00101789">
        <w:t xml:space="preserve">(three of four) </w:t>
      </w:r>
      <w:r w:rsidR="0009297B">
        <w:t>could be addressed in the near</w:t>
      </w:r>
      <w:r w:rsidR="004F2B4E">
        <w:t xml:space="preserve"> </w:t>
      </w:r>
      <w:r w:rsidR="0009297B">
        <w:t>term through consumer education campaigns</w:t>
      </w:r>
      <w:r w:rsidR="006D3B97">
        <w:t xml:space="preserve">. </w:t>
      </w:r>
    </w:p>
    <w:p w14:paraId="32BB5A02" w14:textId="77777777" w:rsidR="00D33A4F" w:rsidRDefault="008469A8" w:rsidP="006D3B97">
      <w:r>
        <w:t xml:space="preserve">For both </w:t>
      </w:r>
      <w:r w:rsidR="008D420D">
        <w:t>Xbox and PS4</w:t>
      </w:r>
      <w:r w:rsidR="004F2B4E">
        <w:t>,</w:t>
      </w:r>
      <w:r>
        <w:t xml:space="preserve"> the greatest savings could be achieved through disabling “connected</w:t>
      </w:r>
      <w:r w:rsidRPr="008469A8">
        <w:t xml:space="preserve"> </w:t>
      </w:r>
      <w:r>
        <w:t xml:space="preserve">standby” </w:t>
      </w:r>
      <w:r w:rsidR="008D420D">
        <w:t>(</w:t>
      </w:r>
      <w:r w:rsidRPr="008469A8">
        <w:t xml:space="preserve">where the console is off but is connected to the network, </w:t>
      </w:r>
      <w:r w:rsidR="00DF15CE">
        <w:t xml:space="preserve">thus </w:t>
      </w:r>
      <w:r w:rsidR="004F2B4E">
        <w:t>enabling it</w:t>
      </w:r>
      <w:r w:rsidRPr="008469A8">
        <w:t xml:space="preserve"> to launch into active modes quickly and provide other functions</w:t>
      </w:r>
      <w:r w:rsidR="008D420D">
        <w:t>)</w:t>
      </w:r>
      <w:r w:rsidR="007D2674">
        <w:t>—</w:t>
      </w:r>
      <w:r>
        <w:t>potentially saving 100</w:t>
      </w:r>
      <w:r w:rsidR="004F2B4E">
        <w:t xml:space="preserve"> </w:t>
      </w:r>
      <w:r>
        <w:t>kWh/year in Xbox UEC and 55</w:t>
      </w:r>
      <w:r w:rsidR="004F2B4E">
        <w:t xml:space="preserve"> </w:t>
      </w:r>
      <w:r>
        <w:t>kWh/year in PS4 UEC.</w:t>
      </w:r>
      <w:r w:rsidR="00A52001">
        <w:t xml:space="preserve"> Second most effective would be usage of </w:t>
      </w:r>
      <w:r w:rsidR="004C243B">
        <w:t>Auto-</w:t>
      </w:r>
      <w:r w:rsidR="006C5A8A">
        <w:t xml:space="preserve">Power </w:t>
      </w:r>
      <w:r w:rsidR="0077641D">
        <w:t>Down (</w:t>
      </w:r>
      <w:r w:rsidR="00A52001">
        <w:t>APD</w:t>
      </w:r>
      <w:r w:rsidR="0077641D">
        <w:t>)</w:t>
      </w:r>
      <w:r w:rsidR="00A52001">
        <w:t xml:space="preserve"> where, ideally, devices would turn themselves off sooner than they currently do</w:t>
      </w:r>
      <w:r w:rsidR="008D420D">
        <w:t>;</w:t>
      </w:r>
      <w:r w:rsidR="00A52001">
        <w:t xml:space="preserve"> NRDC suggest</w:t>
      </w:r>
      <w:r w:rsidR="008D420D">
        <w:t>ed that game consoles be set to turn off after</w:t>
      </w:r>
      <w:r w:rsidR="00A52001">
        <w:t xml:space="preserve"> one hour</w:t>
      </w:r>
      <w:r w:rsidR="008D420D">
        <w:t xml:space="preserve">, possibly achieving </w:t>
      </w:r>
      <w:r w:rsidR="00A52001">
        <w:t>89</w:t>
      </w:r>
      <w:r w:rsidR="00DF15CE">
        <w:t xml:space="preserve"> </w:t>
      </w:r>
      <w:r w:rsidR="00A52001">
        <w:t>kWh/year in savings for Xbox and 50</w:t>
      </w:r>
      <w:r w:rsidR="00DF15CE">
        <w:t xml:space="preserve"> </w:t>
      </w:r>
      <w:r w:rsidR="00A52001">
        <w:t>kWh/year for PS4.</w:t>
      </w:r>
      <w:r w:rsidR="00101789">
        <w:t xml:space="preserve"> Both of these could be incorporated into consumer education campaigns</w:t>
      </w:r>
      <w:r w:rsidR="00A41660">
        <w:t>.</w:t>
      </w:r>
    </w:p>
    <w:p w14:paraId="5878C04A" w14:textId="77777777" w:rsidR="00F537F1" w:rsidRDefault="00F537F1" w:rsidP="006D3B97"/>
    <w:p w14:paraId="2B75AE40" w14:textId="77777777" w:rsidR="00F537F1" w:rsidRDefault="00F537F1" w:rsidP="006D3B97">
      <w:pPr>
        <w:sectPr w:rsidR="00F537F1" w:rsidSect="004C67E5">
          <w:pgSz w:w="12240" w:h="15840"/>
          <w:pgMar w:top="1440" w:right="1440" w:bottom="1440" w:left="1440" w:header="720" w:footer="720" w:gutter="0"/>
          <w:cols w:space="720"/>
          <w:docGrid w:linePitch="360"/>
        </w:sectPr>
      </w:pPr>
    </w:p>
    <w:p w14:paraId="5CAA9F25" w14:textId="77777777" w:rsidR="009C3541" w:rsidRPr="00A41660" w:rsidRDefault="009C3541" w:rsidP="009D3B67">
      <w:pPr>
        <w:pStyle w:val="Caption"/>
      </w:pPr>
      <w:bookmarkStart w:id="54" w:name="_Ref396751809"/>
      <w:bookmarkStart w:id="55" w:name="_Toc400007931"/>
      <w:r w:rsidRPr="00A41660">
        <w:lastRenderedPageBreak/>
        <w:t xml:space="preserve">Table </w:t>
      </w:r>
      <w:fldSimple w:instr=" SEQ Table \* ARABIC ">
        <w:r w:rsidR="00302A02">
          <w:rPr>
            <w:noProof/>
          </w:rPr>
          <w:t>7</w:t>
        </w:r>
      </w:fldSimple>
      <w:bookmarkEnd w:id="54"/>
      <w:r w:rsidRPr="00A41660">
        <w:t>: Energy Savings Opportunities – Game Consoles</w:t>
      </w:r>
      <w:bookmarkEnd w:id="55"/>
    </w:p>
    <w:tbl>
      <w:tblPr>
        <w:tblStyle w:val="TableGrid"/>
        <w:tblW w:w="129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0"/>
        <w:gridCol w:w="1710"/>
        <w:gridCol w:w="1620"/>
        <w:gridCol w:w="6390"/>
        <w:gridCol w:w="1869"/>
      </w:tblGrid>
      <w:tr w:rsidR="00805101" w:rsidRPr="001B05A5" w14:paraId="0C9B791F" w14:textId="77777777" w:rsidTr="00805101">
        <w:trPr>
          <w:cantSplit/>
          <w:tblHeader/>
          <w:jc w:val="center"/>
        </w:trPr>
        <w:tc>
          <w:tcPr>
            <w:tcW w:w="1330" w:type="dxa"/>
            <w:tcBorders>
              <w:top w:val="single" w:sz="12" w:space="0" w:color="auto"/>
              <w:bottom w:val="double" w:sz="4" w:space="0" w:color="auto"/>
            </w:tcBorders>
            <w:vAlign w:val="center"/>
          </w:tcPr>
          <w:p w14:paraId="18A83CBD" w14:textId="77777777" w:rsidR="00805101" w:rsidRPr="001B05A5" w:rsidRDefault="00805101" w:rsidP="00A41660">
            <w:pPr>
              <w:keepNext/>
              <w:keepLines/>
              <w:spacing w:after="0"/>
              <w:jc w:val="left"/>
              <w:rPr>
                <w:b/>
                <w:sz w:val="18"/>
                <w:szCs w:val="18"/>
              </w:rPr>
            </w:pPr>
            <w:r>
              <w:rPr>
                <w:b/>
                <w:sz w:val="18"/>
                <w:szCs w:val="18"/>
              </w:rPr>
              <w:t>Savings Measure</w:t>
            </w:r>
          </w:p>
        </w:tc>
        <w:tc>
          <w:tcPr>
            <w:tcW w:w="1710" w:type="dxa"/>
            <w:tcBorders>
              <w:top w:val="single" w:sz="12" w:space="0" w:color="auto"/>
              <w:bottom w:val="double" w:sz="4" w:space="0" w:color="auto"/>
            </w:tcBorders>
            <w:vAlign w:val="center"/>
          </w:tcPr>
          <w:p w14:paraId="092EE087" w14:textId="77777777" w:rsidR="00805101" w:rsidRPr="001B05A5" w:rsidRDefault="00805101" w:rsidP="00A41660">
            <w:pPr>
              <w:keepNext/>
              <w:keepLines/>
              <w:spacing w:after="0"/>
              <w:jc w:val="left"/>
              <w:rPr>
                <w:b/>
                <w:sz w:val="18"/>
                <w:szCs w:val="18"/>
              </w:rPr>
            </w:pPr>
            <w:r>
              <w:rPr>
                <w:b/>
                <w:sz w:val="18"/>
                <w:szCs w:val="18"/>
              </w:rPr>
              <w:t>Description</w:t>
            </w:r>
          </w:p>
        </w:tc>
        <w:tc>
          <w:tcPr>
            <w:tcW w:w="1620" w:type="dxa"/>
            <w:tcBorders>
              <w:top w:val="single" w:sz="12" w:space="0" w:color="auto"/>
              <w:bottom w:val="double" w:sz="4" w:space="0" w:color="auto"/>
            </w:tcBorders>
            <w:vAlign w:val="center"/>
          </w:tcPr>
          <w:p w14:paraId="6668418E" w14:textId="77777777" w:rsidR="00805101" w:rsidRPr="001B05A5" w:rsidRDefault="00805101" w:rsidP="00A41660">
            <w:pPr>
              <w:keepNext/>
              <w:keepLines/>
              <w:spacing w:after="0"/>
              <w:jc w:val="left"/>
              <w:rPr>
                <w:b/>
                <w:sz w:val="18"/>
                <w:szCs w:val="18"/>
              </w:rPr>
            </w:pPr>
            <w:r>
              <w:rPr>
                <w:b/>
                <w:sz w:val="18"/>
                <w:szCs w:val="18"/>
              </w:rPr>
              <w:t xml:space="preserve">Estimated </w:t>
            </w:r>
            <w:r w:rsidRPr="001B05A5">
              <w:rPr>
                <w:b/>
                <w:sz w:val="18"/>
                <w:szCs w:val="18"/>
              </w:rPr>
              <w:t>Savings Potential</w:t>
            </w:r>
          </w:p>
        </w:tc>
        <w:tc>
          <w:tcPr>
            <w:tcW w:w="6390" w:type="dxa"/>
            <w:tcBorders>
              <w:top w:val="single" w:sz="12" w:space="0" w:color="auto"/>
              <w:bottom w:val="double" w:sz="4" w:space="0" w:color="auto"/>
            </w:tcBorders>
            <w:vAlign w:val="center"/>
          </w:tcPr>
          <w:p w14:paraId="48A7CC5D" w14:textId="77777777" w:rsidR="00805101" w:rsidRDefault="00805101" w:rsidP="00A41660">
            <w:pPr>
              <w:keepNext/>
              <w:keepLines/>
              <w:spacing w:after="0"/>
              <w:jc w:val="left"/>
              <w:rPr>
                <w:b/>
                <w:sz w:val="18"/>
                <w:szCs w:val="18"/>
              </w:rPr>
            </w:pPr>
            <w:r>
              <w:rPr>
                <w:b/>
                <w:sz w:val="18"/>
                <w:szCs w:val="18"/>
              </w:rPr>
              <w:t>Assumptions for Savings Estimates</w:t>
            </w:r>
          </w:p>
        </w:tc>
        <w:tc>
          <w:tcPr>
            <w:tcW w:w="1869" w:type="dxa"/>
            <w:tcBorders>
              <w:left w:val="single" w:sz="12" w:space="0" w:color="auto"/>
              <w:bottom w:val="double" w:sz="4" w:space="0" w:color="auto"/>
            </w:tcBorders>
            <w:vAlign w:val="center"/>
          </w:tcPr>
          <w:p w14:paraId="6857D536" w14:textId="77777777" w:rsidR="00805101" w:rsidRPr="001B05A5" w:rsidRDefault="00805101" w:rsidP="00A41660">
            <w:pPr>
              <w:keepNext/>
              <w:keepLines/>
              <w:spacing w:after="0"/>
              <w:jc w:val="left"/>
              <w:rPr>
                <w:b/>
                <w:sz w:val="18"/>
                <w:szCs w:val="18"/>
              </w:rPr>
            </w:pPr>
            <w:r>
              <w:rPr>
                <w:b/>
                <w:sz w:val="18"/>
                <w:szCs w:val="18"/>
              </w:rPr>
              <w:t>Suggestions or Example(s) of Implementation Strategies</w:t>
            </w:r>
          </w:p>
        </w:tc>
      </w:tr>
      <w:tr w:rsidR="00733F16" w:rsidRPr="001B05A5" w14:paraId="45BA351E" w14:textId="77777777" w:rsidTr="00805101">
        <w:trPr>
          <w:cantSplit/>
          <w:jc w:val="center"/>
        </w:trPr>
        <w:tc>
          <w:tcPr>
            <w:tcW w:w="1330" w:type="dxa"/>
            <w:tcBorders>
              <w:top w:val="double" w:sz="4" w:space="0" w:color="auto"/>
            </w:tcBorders>
            <w:vAlign w:val="center"/>
          </w:tcPr>
          <w:p w14:paraId="43826172" w14:textId="77777777" w:rsidR="00733F16" w:rsidRPr="00931D8E" w:rsidRDefault="00733F16" w:rsidP="00A41660">
            <w:pPr>
              <w:keepNext/>
              <w:keepLines/>
              <w:spacing w:after="0"/>
              <w:jc w:val="left"/>
              <w:rPr>
                <w:sz w:val="18"/>
                <w:szCs w:val="18"/>
              </w:rPr>
            </w:pPr>
            <w:r>
              <w:rPr>
                <w:sz w:val="18"/>
                <w:szCs w:val="18"/>
              </w:rPr>
              <w:t>1) Connected Standby Disabling</w:t>
            </w:r>
          </w:p>
        </w:tc>
        <w:tc>
          <w:tcPr>
            <w:tcW w:w="1710" w:type="dxa"/>
            <w:tcBorders>
              <w:top w:val="double" w:sz="4" w:space="0" w:color="auto"/>
            </w:tcBorders>
            <w:vAlign w:val="center"/>
          </w:tcPr>
          <w:p w14:paraId="7BE11B51" w14:textId="77777777" w:rsidR="00733F16" w:rsidRPr="00A25870" w:rsidRDefault="00733F16" w:rsidP="00DF15CE">
            <w:pPr>
              <w:keepNext/>
              <w:keepLines/>
              <w:spacing w:after="0"/>
              <w:jc w:val="left"/>
              <w:rPr>
                <w:sz w:val="18"/>
                <w:szCs w:val="18"/>
              </w:rPr>
            </w:pPr>
            <w:r w:rsidRPr="00A25870">
              <w:rPr>
                <w:sz w:val="18"/>
                <w:szCs w:val="18"/>
              </w:rPr>
              <w:t xml:space="preserve">Disable </w:t>
            </w:r>
            <w:r w:rsidRPr="00A25870">
              <w:rPr>
                <w:i/>
                <w:sz w:val="18"/>
                <w:szCs w:val="18"/>
              </w:rPr>
              <w:t>connected</w:t>
            </w:r>
            <w:r w:rsidRPr="00A25870">
              <w:rPr>
                <w:sz w:val="18"/>
                <w:szCs w:val="18"/>
              </w:rPr>
              <w:t xml:space="preserve"> standby (where the console is off but is connected to the network, </w:t>
            </w:r>
            <w:r>
              <w:rPr>
                <w:sz w:val="18"/>
                <w:szCs w:val="18"/>
              </w:rPr>
              <w:t>enabling it</w:t>
            </w:r>
            <w:r w:rsidRPr="00A25870">
              <w:rPr>
                <w:sz w:val="18"/>
                <w:szCs w:val="18"/>
              </w:rPr>
              <w:t xml:space="preserve"> to launch into active modes quickly and provide other functions).</w:t>
            </w:r>
          </w:p>
        </w:tc>
        <w:tc>
          <w:tcPr>
            <w:tcW w:w="1620" w:type="dxa"/>
            <w:tcBorders>
              <w:top w:val="double" w:sz="4" w:space="0" w:color="auto"/>
            </w:tcBorders>
            <w:vAlign w:val="center"/>
          </w:tcPr>
          <w:p w14:paraId="05E1E884" w14:textId="77777777" w:rsidR="00733F16" w:rsidRPr="001B05A5" w:rsidRDefault="00733F16" w:rsidP="00A41660">
            <w:pPr>
              <w:keepNext/>
              <w:keepLines/>
              <w:spacing w:after="0"/>
              <w:jc w:val="left"/>
              <w:rPr>
                <w:sz w:val="18"/>
                <w:szCs w:val="18"/>
              </w:rPr>
            </w:pPr>
            <w:r>
              <w:rPr>
                <w:sz w:val="18"/>
                <w:szCs w:val="18"/>
              </w:rPr>
              <w:t>100 kWh/year or 43%</w:t>
            </w:r>
            <w:r w:rsidR="008429E0">
              <w:rPr>
                <w:sz w:val="18"/>
                <w:szCs w:val="18"/>
              </w:rPr>
              <w:t>,</w:t>
            </w:r>
            <w:r>
              <w:rPr>
                <w:sz w:val="18"/>
                <w:szCs w:val="18"/>
              </w:rPr>
              <w:t xml:space="preserve"> and 55 kWh or 31% savings in average UEC of </w:t>
            </w:r>
            <w:r w:rsidRPr="00EE4C16">
              <w:rPr>
                <w:sz w:val="18"/>
                <w:szCs w:val="18"/>
              </w:rPr>
              <w:t>Xbox and PS4</w:t>
            </w:r>
            <w:r>
              <w:rPr>
                <w:i/>
                <w:sz w:val="18"/>
                <w:szCs w:val="18"/>
              </w:rPr>
              <w:t xml:space="preserve"> </w:t>
            </w:r>
            <w:r>
              <w:rPr>
                <w:sz w:val="18"/>
                <w:szCs w:val="18"/>
              </w:rPr>
              <w:t>units, respectively</w:t>
            </w:r>
          </w:p>
        </w:tc>
        <w:tc>
          <w:tcPr>
            <w:tcW w:w="6390" w:type="dxa"/>
            <w:tcBorders>
              <w:top w:val="double" w:sz="4" w:space="0" w:color="auto"/>
            </w:tcBorders>
            <w:vAlign w:val="center"/>
          </w:tcPr>
          <w:p w14:paraId="46A1CD9E" w14:textId="77777777" w:rsidR="00733F16" w:rsidRDefault="00733F16" w:rsidP="00A41660">
            <w:pPr>
              <w:keepNext/>
              <w:keepLines/>
              <w:spacing w:after="0"/>
              <w:jc w:val="left"/>
              <w:rPr>
                <w:sz w:val="18"/>
                <w:szCs w:val="18"/>
              </w:rPr>
            </w:pPr>
            <w:r>
              <w:rPr>
                <w:sz w:val="18"/>
                <w:szCs w:val="18"/>
              </w:rPr>
              <w:t>-NRDC learned that Xbox units spend about 18 hours/day in standby and PS4 units spend about 19 hours/day in standby, respectively requiring 15.7 and 8.5 Watts in that mode. NRDC estimated that, if they were not in connected standby, they would require less than one Watt each while in standby.</w:t>
            </w:r>
          </w:p>
          <w:p w14:paraId="485A130B" w14:textId="77777777" w:rsidR="00733F16" w:rsidRDefault="00733F16" w:rsidP="00A41660">
            <w:pPr>
              <w:keepNext/>
              <w:keepLines/>
              <w:spacing w:after="0"/>
              <w:jc w:val="left"/>
              <w:rPr>
                <w:sz w:val="18"/>
                <w:szCs w:val="18"/>
              </w:rPr>
            </w:pPr>
          </w:p>
          <w:p w14:paraId="4299755F" w14:textId="77777777" w:rsidR="00733F16" w:rsidRPr="001B05A5" w:rsidRDefault="00733F16" w:rsidP="00A41660">
            <w:pPr>
              <w:keepNext/>
              <w:keepLines/>
              <w:spacing w:after="0"/>
              <w:jc w:val="left"/>
              <w:rPr>
                <w:sz w:val="18"/>
                <w:szCs w:val="18"/>
              </w:rPr>
            </w:pPr>
            <w:r>
              <w:rPr>
                <w:sz w:val="18"/>
                <w:szCs w:val="18"/>
              </w:rPr>
              <w:t>-NMR calculated that they respectively consume 103 kWh/year and 59 kWh/year in connected standby, but would consume only 3 kWh/year while in “disconnected” standby (using 0.5 Watts as a proxy to estimate power for standard standby).</w:t>
            </w:r>
          </w:p>
        </w:tc>
        <w:tc>
          <w:tcPr>
            <w:tcW w:w="1869" w:type="dxa"/>
            <w:vMerge w:val="restart"/>
            <w:tcBorders>
              <w:top w:val="double" w:sz="4" w:space="0" w:color="auto"/>
              <w:left w:val="single" w:sz="12" w:space="0" w:color="auto"/>
            </w:tcBorders>
            <w:vAlign w:val="center"/>
          </w:tcPr>
          <w:p w14:paraId="14389854" w14:textId="77777777" w:rsidR="00733F16" w:rsidRPr="001B05A5" w:rsidRDefault="00733F16" w:rsidP="00A41660">
            <w:pPr>
              <w:keepNext/>
              <w:keepLines/>
              <w:spacing w:after="0"/>
              <w:jc w:val="left"/>
              <w:rPr>
                <w:sz w:val="18"/>
                <w:szCs w:val="18"/>
              </w:rPr>
            </w:pPr>
            <w:r>
              <w:rPr>
                <w:sz w:val="18"/>
                <w:szCs w:val="18"/>
              </w:rPr>
              <w:t>Consumer education campaigns; partnership with policymakers, specification and standard setting entities, and manufacturers (non-incentive based)</w:t>
            </w:r>
          </w:p>
          <w:p w14:paraId="5A3887AF" w14:textId="77777777" w:rsidR="00733F16" w:rsidRPr="001B05A5" w:rsidRDefault="00733F16" w:rsidP="00DF15CE">
            <w:pPr>
              <w:keepNext/>
              <w:keepLines/>
              <w:spacing w:after="0"/>
              <w:jc w:val="left"/>
              <w:rPr>
                <w:sz w:val="18"/>
                <w:szCs w:val="18"/>
              </w:rPr>
            </w:pPr>
          </w:p>
        </w:tc>
      </w:tr>
      <w:tr w:rsidR="00733F16" w:rsidRPr="001B05A5" w14:paraId="5B8EBB2C" w14:textId="77777777" w:rsidTr="00805101">
        <w:trPr>
          <w:cantSplit/>
          <w:jc w:val="center"/>
        </w:trPr>
        <w:tc>
          <w:tcPr>
            <w:tcW w:w="1330" w:type="dxa"/>
            <w:vAlign w:val="center"/>
          </w:tcPr>
          <w:p w14:paraId="139492FF" w14:textId="77777777" w:rsidR="00733F16" w:rsidRPr="00931D8E" w:rsidRDefault="00733F16" w:rsidP="00A41660">
            <w:pPr>
              <w:keepNext/>
              <w:keepLines/>
              <w:spacing w:after="0"/>
              <w:jc w:val="left"/>
              <w:rPr>
                <w:sz w:val="18"/>
                <w:szCs w:val="18"/>
              </w:rPr>
            </w:pPr>
            <w:r>
              <w:rPr>
                <w:sz w:val="18"/>
                <w:szCs w:val="18"/>
              </w:rPr>
              <w:t xml:space="preserve">2) </w:t>
            </w:r>
            <w:r w:rsidRPr="00931D8E">
              <w:rPr>
                <w:sz w:val="18"/>
                <w:szCs w:val="18"/>
              </w:rPr>
              <w:t>APD Usage</w:t>
            </w:r>
          </w:p>
        </w:tc>
        <w:tc>
          <w:tcPr>
            <w:tcW w:w="1710" w:type="dxa"/>
            <w:vAlign w:val="center"/>
          </w:tcPr>
          <w:p w14:paraId="45D804F9" w14:textId="77777777" w:rsidR="00733F16" w:rsidRPr="00A25870" w:rsidRDefault="00733F16" w:rsidP="00A41660">
            <w:pPr>
              <w:keepNext/>
              <w:keepLines/>
              <w:spacing w:after="0"/>
              <w:jc w:val="left"/>
              <w:rPr>
                <w:sz w:val="18"/>
                <w:szCs w:val="18"/>
              </w:rPr>
            </w:pPr>
            <w:r w:rsidRPr="00A25870">
              <w:rPr>
                <w:sz w:val="18"/>
                <w:szCs w:val="18"/>
              </w:rPr>
              <w:t>Set APD to turn off after one hour or less as default and/or eliminate notifications to remove APD.</w:t>
            </w:r>
          </w:p>
        </w:tc>
        <w:tc>
          <w:tcPr>
            <w:tcW w:w="1620" w:type="dxa"/>
            <w:vAlign w:val="center"/>
          </w:tcPr>
          <w:p w14:paraId="0B43911D" w14:textId="77777777" w:rsidR="00733F16" w:rsidRDefault="00733F16" w:rsidP="00A41660">
            <w:pPr>
              <w:keepNext/>
              <w:keepLines/>
              <w:spacing w:after="0"/>
              <w:jc w:val="left"/>
              <w:rPr>
                <w:sz w:val="18"/>
                <w:szCs w:val="18"/>
              </w:rPr>
            </w:pPr>
            <w:r>
              <w:rPr>
                <w:sz w:val="18"/>
                <w:szCs w:val="18"/>
              </w:rPr>
              <w:t>89 kWh/year or 38%</w:t>
            </w:r>
            <w:r w:rsidR="008429E0">
              <w:rPr>
                <w:sz w:val="18"/>
                <w:szCs w:val="18"/>
              </w:rPr>
              <w:t>,</w:t>
            </w:r>
            <w:r>
              <w:rPr>
                <w:sz w:val="18"/>
                <w:szCs w:val="18"/>
              </w:rPr>
              <w:t xml:space="preserve"> and 50 kWh/year or 27% savings in average UEC of </w:t>
            </w:r>
            <w:r w:rsidRPr="00EE4C16">
              <w:rPr>
                <w:sz w:val="18"/>
                <w:szCs w:val="18"/>
              </w:rPr>
              <w:t>Xbox and PS4</w:t>
            </w:r>
            <w:r>
              <w:rPr>
                <w:i/>
                <w:sz w:val="18"/>
                <w:szCs w:val="18"/>
              </w:rPr>
              <w:t xml:space="preserve"> </w:t>
            </w:r>
            <w:r>
              <w:rPr>
                <w:sz w:val="18"/>
                <w:szCs w:val="18"/>
              </w:rPr>
              <w:t>units, respectively</w:t>
            </w:r>
          </w:p>
        </w:tc>
        <w:tc>
          <w:tcPr>
            <w:tcW w:w="6390" w:type="dxa"/>
            <w:vAlign w:val="center"/>
          </w:tcPr>
          <w:p w14:paraId="3A22B20B" w14:textId="77777777" w:rsidR="00733F16" w:rsidRDefault="00733F16" w:rsidP="00A41660">
            <w:pPr>
              <w:keepNext/>
              <w:keepLines/>
              <w:spacing w:after="0"/>
              <w:jc w:val="left"/>
              <w:rPr>
                <w:sz w:val="18"/>
                <w:szCs w:val="18"/>
              </w:rPr>
            </w:pPr>
            <w:r>
              <w:rPr>
                <w:sz w:val="18"/>
                <w:szCs w:val="18"/>
              </w:rPr>
              <w:t xml:space="preserve">-NRDC suggested that APD occur after one hour in standby. </w:t>
            </w:r>
          </w:p>
          <w:p w14:paraId="601525CA" w14:textId="77777777" w:rsidR="00733F16" w:rsidRDefault="00733F16" w:rsidP="00A41660">
            <w:pPr>
              <w:keepNext/>
              <w:keepLines/>
              <w:spacing w:after="0"/>
              <w:jc w:val="left"/>
              <w:rPr>
                <w:sz w:val="18"/>
                <w:szCs w:val="18"/>
              </w:rPr>
            </w:pPr>
          </w:p>
          <w:p w14:paraId="26578F66" w14:textId="77777777" w:rsidR="00733F16" w:rsidRDefault="00733F16" w:rsidP="00A41660">
            <w:pPr>
              <w:keepNext/>
              <w:keepLines/>
              <w:spacing w:after="0"/>
              <w:jc w:val="left"/>
              <w:rPr>
                <w:sz w:val="18"/>
                <w:szCs w:val="18"/>
              </w:rPr>
            </w:pPr>
            <w:r>
              <w:rPr>
                <w:sz w:val="18"/>
                <w:szCs w:val="18"/>
              </w:rPr>
              <w:t xml:space="preserve">-NMR calculated that Xbox and PS4 respectively consume 103 kWh/year and 59 kWh/year in connected standby (see Measure 1). NMR then estimated new consumption level for the devices (during the 18 and 19 hours they currently spend in standby) if they each spent only two hours/day in connected standby (and the remaining standby time in “off”) using these formulas: </w:t>
            </w:r>
          </w:p>
          <w:p w14:paraId="08250DCE" w14:textId="77777777" w:rsidR="00733F16" w:rsidRPr="0091170E" w:rsidRDefault="00733F16" w:rsidP="00A41660">
            <w:pPr>
              <w:pStyle w:val="ListParagraph"/>
              <w:keepNext/>
              <w:keepLines/>
              <w:numPr>
                <w:ilvl w:val="0"/>
                <w:numId w:val="31"/>
              </w:numPr>
              <w:spacing w:after="0"/>
              <w:jc w:val="left"/>
              <w:rPr>
                <w:sz w:val="18"/>
                <w:szCs w:val="18"/>
              </w:rPr>
            </w:pPr>
            <w:r w:rsidRPr="006D41EF">
              <w:rPr>
                <w:i/>
                <w:sz w:val="18"/>
                <w:szCs w:val="18"/>
              </w:rPr>
              <w:t>Xbox</w:t>
            </w:r>
            <w:r w:rsidRPr="0091170E">
              <w:rPr>
                <w:sz w:val="18"/>
                <w:szCs w:val="18"/>
              </w:rPr>
              <w:t>: (15.7 Watts * 2 Hours * 0.365) + (0.5 Watts * 16 Hours *0.365) = 14</w:t>
            </w:r>
            <w:r>
              <w:rPr>
                <w:sz w:val="18"/>
                <w:szCs w:val="18"/>
              </w:rPr>
              <w:t xml:space="preserve"> </w:t>
            </w:r>
            <w:r w:rsidRPr="0091170E">
              <w:rPr>
                <w:sz w:val="18"/>
                <w:szCs w:val="18"/>
              </w:rPr>
              <w:t>kWh/year</w:t>
            </w:r>
          </w:p>
          <w:p w14:paraId="108F51D5" w14:textId="77777777" w:rsidR="00733F16" w:rsidRPr="001B05A5" w:rsidRDefault="00733F16" w:rsidP="00A41660">
            <w:pPr>
              <w:pStyle w:val="ListParagraph"/>
              <w:keepNext/>
              <w:keepLines/>
              <w:numPr>
                <w:ilvl w:val="0"/>
                <w:numId w:val="31"/>
              </w:numPr>
              <w:spacing w:after="0"/>
              <w:jc w:val="left"/>
              <w:rPr>
                <w:sz w:val="18"/>
                <w:szCs w:val="18"/>
              </w:rPr>
            </w:pPr>
            <w:r w:rsidRPr="006D41EF">
              <w:rPr>
                <w:i/>
                <w:sz w:val="18"/>
                <w:szCs w:val="18"/>
              </w:rPr>
              <w:t>PS4</w:t>
            </w:r>
            <w:r w:rsidRPr="006D41EF">
              <w:rPr>
                <w:sz w:val="18"/>
                <w:szCs w:val="18"/>
              </w:rPr>
              <w:t>: (8.5 Watts * 2 Hours * 0.365) + (0.5 Watts * 17 Hours * 0.365) = 9</w:t>
            </w:r>
            <w:r>
              <w:rPr>
                <w:sz w:val="18"/>
                <w:szCs w:val="18"/>
              </w:rPr>
              <w:t xml:space="preserve"> </w:t>
            </w:r>
            <w:r w:rsidRPr="006D41EF">
              <w:rPr>
                <w:sz w:val="18"/>
                <w:szCs w:val="18"/>
              </w:rPr>
              <w:t>kWh/year</w:t>
            </w:r>
          </w:p>
        </w:tc>
        <w:tc>
          <w:tcPr>
            <w:tcW w:w="1869" w:type="dxa"/>
            <w:vMerge/>
            <w:tcBorders>
              <w:left w:val="single" w:sz="12" w:space="0" w:color="auto"/>
            </w:tcBorders>
            <w:vAlign w:val="center"/>
          </w:tcPr>
          <w:p w14:paraId="6543227B" w14:textId="77777777" w:rsidR="00733F16" w:rsidRPr="001B05A5" w:rsidRDefault="00733F16" w:rsidP="00DF15CE">
            <w:pPr>
              <w:keepNext/>
              <w:keepLines/>
              <w:spacing w:after="0"/>
              <w:jc w:val="left"/>
              <w:rPr>
                <w:sz w:val="18"/>
                <w:szCs w:val="18"/>
              </w:rPr>
            </w:pPr>
          </w:p>
        </w:tc>
      </w:tr>
      <w:tr w:rsidR="00733F16" w:rsidRPr="001B05A5" w14:paraId="6616BA39" w14:textId="77777777" w:rsidTr="00DF15CE">
        <w:trPr>
          <w:cantSplit/>
          <w:jc w:val="center"/>
        </w:trPr>
        <w:tc>
          <w:tcPr>
            <w:tcW w:w="1330" w:type="dxa"/>
            <w:vAlign w:val="center"/>
          </w:tcPr>
          <w:p w14:paraId="0DAF75CF" w14:textId="77777777" w:rsidR="00733F16" w:rsidRPr="00931D8E" w:rsidRDefault="00733F16" w:rsidP="00A41660">
            <w:pPr>
              <w:keepNext/>
              <w:keepLines/>
              <w:spacing w:after="0"/>
              <w:jc w:val="left"/>
              <w:rPr>
                <w:sz w:val="18"/>
                <w:szCs w:val="18"/>
              </w:rPr>
            </w:pPr>
            <w:r>
              <w:rPr>
                <w:sz w:val="18"/>
                <w:szCs w:val="18"/>
              </w:rPr>
              <w:t xml:space="preserve">3) </w:t>
            </w:r>
            <w:r w:rsidRPr="00931D8E">
              <w:rPr>
                <w:sz w:val="18"/>
                <w:szCs w:val="18"/>
              </w:rPr>
              <w:t>TV-Mode Power Reduction</w:t>
            </w:r>
          </w:p>
        </w:tc>
        <w:tc>
          <w:tcPr>
            <w:tcW w:w="1710" w:type="dxa"/>
            <w:vAlign w:val="center"/>
          </w:tcPr>
          <w:p w14:paraId="1F472C1E" w14:textId="77777777" w:rsidR="00733F16" w:rsidRPr="00A25870" w:rsidRDefault="00733F16" w:rsidP="00A41660">
            <w:pPr>
              <w:keepNext/>
              <w:keepLines/>
              <w:spacing w:after="0"/>
              <w:jc w:val="left"/>
              <w:rPr>
                <w:sz w:val="18"/>
                <w:szCs w:val="18"/>
              </w:rPr>
            </w:pPr>
            <w:r w:rsidRPr="00A25870">
              <w:rPr>
                <w:sz w:val="18"/>
                <w:szCs w:val="18"/>
              </w:rPr>
              <w:t>Reduce Xbox TV-Mode power by configuring it so the console does not need to be on during TV watching or by designing the device to use low power levels in that mode.</w:t>
            </w:r>
          </w:p>
        </w:tc>
        <w:tc>
          <w:tcPr>
            <w:tcW w:w="1620" w:type="dxa"/>
            <w:vAlign w:val="center"/>
          </w:tcPr>
          <w:p w14:paraId="08742AEE" w14:textId="77777777" w:rsidR="00733F16" w:rsidRPr="002647F5" w:rsidRDefault="00733F16" w:rsidP="00A41660">
            <w:pPr>
              <w:keepNext/>
              <w:keepLines/>
              <w:spacing w:after="0"/>
              <w:jc w:val="left"/>
              <w:rPr>
                <w:sz w:val="18"/>
                <w:szCs w:val="18"/>
              </w:rPr>
            </w:pPr>
            <w:r>
              <w:rPr>
                <w:sz w:val="18"/>
                <w:szCs w:val="18"/>
              </w:rPr>
              <w:t xml:space="preserve">79 kWh/year or 27% savings in average UEC of </w:t>
            </w:r>
            <w:r w:rsidRPr="00EE4C16">
              <w:rPr>
                <w:sz w:val="18"/>
                <w:szCs w:val="18"/>
              </w:rPr>
              <w:t>Xbox</w:t>
            </w:r>
            <w:r>
              <w:rPr>
                <w:i/>
                <w:sz w:val="18"/>
                <w:szCs w:val="18"/>
              </w:rPr>
              <w:t xml:space="preserve"> </w:t>
            </w:r>
            <w:r>
              <w:rPr>
                <w:sz w:val="18"/>
                <w:szCs w:val="18"/>
              </w:rPr>
              <w:t>units</w:t>
            </w:r>
          </w:p>
        </w:tc>
        <w:tc>
          <w:tcPr>
            <w:tcW w:w="6390" w:type="dxa"/>
            <w:vAlign w:val="center"/>
          </w:tcPr>
          <w:p w14:paraId="6B9FB07E" w14:textId="77777777" w:rsidR="00733F16" w:rsidRDefault="00733F16" w:rsidP="00A41660">
            <w:pPr>
              <w:keepNext/>
              <w:keepLines/>
              <w:spacing w:after="0"/>
              <w:jc w:val="left"/>
              <w:rPr>
                <w:sz w:val="18"/>
                <w:szCs w:val="18"/>
              </w:rPr>
            </w:pPr>
            <w:r>
              <w:rPr>
                <w:sz w:val="18"/>
                <w:szCs w:val="18"/>
              </w:rPr>
              <w:t>NRDC estimated that if users watch TV for 5 hours/day and their Xbox units are configured as “TV controllers,” they would consume 289 kWh/year. They found that if at least 30% of owners set up their Xbox units to connect to their TVs through a different port than that of their STB (so the game console does not need to be on to watch TV), then the average Xbox UEC would decrease to 210 kWh/year.</w:t>
            </w:r>
          </w:p>
        </w:tc>
        <w:tc>
          <w:tcPr>
            <w:tcW w:w="1869" w:type="dxa"/>
            <w:vMerge/>
            <w:tcBorders>
              <w:left w:val="single" w:sz="12" w:space="0" w:color="auto"/>
            </w:tcBorders>
            <w:vAlign w:val="center"/>
          </w:tcPr>
          <w:p w14:paraId="6842CF47" w14:textId="77777777" w:rsidR="00733F16" w:rsidRPr="001B05A5" w:rsidRDefault="00733F16" w:rsidP="00DF15CE">
            <w:pPr>
              <w:keepNext/>
              <w:keepLines/>
              <w:spacing w:after="0"/>
              <w:jc w:val="left"/>
              <w:rPr>
                <w:sz w:val="18"/>
                <w:szCs w:val="18"/>
              </w:rPr>
            </w:pPr>
          </w:p>
        </w:tc>
      </w:tr>
      <w:tr w:rsidR="00805101" w:rsidRPr="001B05A5" w14:paraId="58AD2428" w14:textId="77777777" w:rsidTr="00A25870">
        <w:trPr>
          <w:cantSplit/>
          <w:jc w:val="center"/>
        </w:trPr>
        <w:tc>
          <w:tcPr>
            <w:tcW w:w="1330" w:type="dxa"/>
            <w:tcBorders>
              <w:bottom w:val="single" w:sz="4" w:space="0" w:color="auto"/>
            </w:tcBorders>
            <w:vAlign w:val="center"/>
          </w:tcPr>
          <w:p w14:paraId="10F2F7F9" w14:textId="77777777" w:rsidR="00805101" w:rsidRPr="00931D8E" w:rsidRDefault="00805101" w:rsidP="00A41660">
            <w:pPr>
              <w:keepNext/>
              <w:keepLines/>
              <w:spacing w:after="0"/>
              <w:jc w:val="left"/>
              <w:rPr>
                <w:sz w:val="18"/>
                <w:szCs w:val="18"/>
              </w:rPr>
            </w:pPr>
            <w:r>
              <w:rPr>
                <w:sz w:val="18"/>
                <w:szCs w:val="18"/>
              </w:rPr>
              <w:lastRenderedPageBreak/>
              <w:t xml:space="preserve">4) </w:t>
            </w:r>
            <w:r w:rsidRPr="00931D8E">
              <w:rPr>
                <w:sz w:val="18"/>
                <w:szCs w:val="18"/>
              </w:rPr>
              <w:t>Video Streaming Power Reduction</w:t>
            </w:r>
          </w:p>
        </w:tc>
        <w:tc>
          <w:tcPr>
            <w:tcW w:w="1710" w:type="dxa"/>
            <w:tcBorders>
              <w:bottom w:val="single" w:sz="4" w:space="0" w:color="auto"/>
            </w:tcBorders>
            <w:vAlign w:val="center"/>
          </w:tcPr>
          <w:p w14:paraId="541FC813" w14:textId="77777777" w:rsidR="00805101" w:rsidRPr="00A25870" w:rsidRDefault="00805101" w:rsidP="00A41660">
            <w:pPr>
              <w:keepNext/>
              <w:keepLines/>
              <w:spacing w:after="0"/>
              <w:jc w:val="left"/>
              <w:rPr>
                <w:sz w:val="18"/>
                <w:szCs w:val="18"/>
              </w:rPr>
            </w:pPr>
            <w:r w:rsidRPr="00A25870">
              <w:rPr>
                <w:sz w:val="18"/>
                <w:szCs w:val="18"/>
              </w:rPr>
              <w:t>Match power levels of more efficient devices like Apple TV to watch videos or avoid watching videos through game consoles.</w:t>
            </w:r>
          </w:p>
        </w:tc>
        <w:tc>
          <w:tcPr>
            <w:tcW w:w="1620" w:type="dxa"/>
            <w:tcBorders>
              <w:bottom w:val="single" w:sz="4" w:space="0" w:color="auto"/>
            </w:tcBorders>
            <w:vAlign w:val="center"/>
          </w:tcPr>
          <w:p w14:paraId="624B58B7" w14:textId="77777777" w:rsidR="00805101" w:rsidRDefault="00805101" w:rsidP="00A41660">
            <w:pPr>
              <w:keepNext/>
              <w:keepLines/>
              <w:spacing w:after="0"/>
              <w:jc w:val="left"/>
              <w:rPr>
                <w:sz w:val="18"/>
                <w:szCs w:val="18"/>
              </w:rPr>
            </w:pPr>
            <w:r>
              <w:rPr>
                <w:sz w:val="18"/>
                <w:szCs w:val="18"/>
              </w:rPr>
              <w:t>63</w:t>
            </w:r>
            <w:r w:rsidR="008429E0">
              <w:rPr>
                <w:sz w:val="18"/>
                <w:szCs w:val="18"/>
              </w:rPr>
              <w:t xml:space="preserve"> </w:t>
            </w:r>
            <w:r>
              <w:rPr>
                <w:sz w:val="18"/>
                <w:szCs w:val="18"/>
              </w:rPr>
              <w:t>kWh/year or 35%</w:t>
            </w:r>
            <w:r w:rsidR="008429E0">
              <w:rPr>
                <w:sz w:val="18"/>
                <w:szCs w:val="18"/>
              </w:rPr>
              <w:t>,</w:t>
            </w:r>
            <w:r>
              <w:rPr>
                <w:sz w:val="18"/>
                <w:szCs w:val="18"/>
              </w:rPr>
              <w:t xml:space="preserve"> and 40</w:t>
            </w:r>
            <w:r w:rsidR="008429E0">
              <w:rPr>
                <w:sz w:val="18"/>
                <w:szCs w:val="18"/>
              </w:rPr>
              <w:t xml:space="preserve"> </w:t>
            </w:r>
            <w:r>
              <w:rPr>
                <w:sz w:val="18"/>
                <w:szCs w:val="18"/>
              </w:rPr>
              <w:t xml:space="preserve">kWh or 17% savings in average UEC of </w:t>
            </w:r>
            <w:r w:rsidRPr="00EE4C16">
              <w:rPr>
                <w:sz w:val="18"/>
                <w:szCs w:val="18"/>
              </w:rPr>
              <w:t>Xbox and PS4</w:t>
            </w:r>
            <w:r>
              <w:rPr>
                <w:i/>
                <w:sz w:val="18"/>
                <w:szCs w:val="18"/>
              </w:rPr>
              <w:t xml:space="preserve"> </w:t>
            </w:r>
            <w:r>
              <w:rPr>
                <w:sz w:val="18"/>
                <w:szCs w:val="18"/>
              </w:rPr>
              <w:t>units, respectively</w:t>
            </w:r>
          </w:p>
        </w:tc>
        <w:tc>
          <w:tcPr>
            <w:tcW w:w="6390" w:type="dxa"/>
            <w:tcBorders>
              <w:bottom w:val="single" w:sz="4" w:space="0" w:color="auto"/>
            </w:tcBorders>
            <w:vAlign w:val="center"/>
          </w:tcPr>
          <w:p w14:paraId="7F97602F" w14:textId="77777777" w:rsidR="00805101" w:rsidRDefault="00805101" w:rsidP="00A41660">
            <w:pPr>
              <w:keepNext/>
              <w:keepLines/>
              <w:spacing w:after="0"/>
              <w:jc w:val="left"/>
              <w:rPr>
                <w:sz w:val="18"/>
                <w:szCs w:val="18"/>
              </w:rPr>
            </w:pPr>
            <w:r>
              <w:rPr>
                <w:sz w:val="18"/>
                <w:szCs w:val="18"/>
              </w:rPr>
              <w:t xml:space="preserve">-NRDC reported that Xbox uses 74 Watts and PS4 uses 89 </w:t>
            </w:r>
            <w:r w:rsidRPr="00D33CDC">
              <w:rPr>
                <w:sz w:val="18"/>
                <w:szCs w:val="18"/>
              </w:rPr>
              <w:t>Watts to stream</w:t>
            </w:r>
            <w:r>
              <w:rPr>
                <w:sz w:val="18"/>
                <w:szCs w:val="18"/>
              </w:rPr>
              <w:t xml:space="preserve"> an HD movie. In contrast, NRDC found that media streaming devices like Apple TV use </w:t>
            </w:r>
            <w:r w:rsidR="008429E0">
              <w:rPr>
                <w:sz w:val="18"/>
                <w:szCs w:val="18"/>
              </w:rPr>
              <w:t>fewer</w:t>
            </w:r>
            <w:r>
              <w:rPr>
                <w:sz w:val="18"/>
                <w:szCs w:val="18"/>
              </w:rPr>
              <w:t xml:space="preserve"> than 2 Watts to stream HD movies. They reported that Xbox and PS4 are respectively used in the video streaming mode for 2.37 hours/day and 1.24 hours/day, on average. </w:t>
            </w:r>
          </w:p>
          <w:p w14:paraId="6D51E701" w14:textId="77777777" w:rsidR="00805101" w:rsidRDefault="00805101" w:rsidP="00A41660">
            <w:pPr>
              <w:keepNext/>
              <w:keepLines/>
              <w:spacing w:after="0"/>
              <w:jc w:val="left"/>
              <w:rPr>
                <w:sz w:val="18"/>
                <w:szCs w:val="18"/>
              </w:rPr>
            </w:pPr>
          </w:p>
          <w:p w14:paraId="7A17FBFC" w14:textId="77777777" w:rsidR="00805101" w:rsidRPr="001B05A5" w:rsidRDefault="00805101" w:rsidP="00A41660">
            <w:pPr>
              <w:keepNext/>
              <w:keepLines/>
              <w:spacing w:after="0"/>
              <w:jc w:val="left"/>
              <w:rPr>
                <w:sz w:val="18"/>
                <w:szCs w:val="18"/>
              </w:rPr>
            </w:pPr>
            <w:r>
              <w:rPr>
                <w:sz w:val="18"/>
                <w:szCs w:val="18"/>
              </w:rPr>
              <w:t>-NMR calculated that Xbox uses 64</w:t>
            </w:r>
            <w:r w:rsidR="008429E0">
              <w:rPr>
                <w:sz w:val="18"/>
                <w:szCs w:val="18"/>
              </w:rPr>
              <w:t xml:space="preserve"> </w:t>
            </w:r>
            <w:r>
              <w:rPr>
                <w:sz w:val="18"/>
                <w:szCs w:val="18"/>
              </w:rPr>
              <w:t>kWh/year and PS4 uses 40</w:t>
            </w:r>
            <w:r w:rsidR="008429E0">
              <w:rPr>
                <w:sz w:val="18"/>
                <w:szCs w:val="18"/>
              </w:rPr>
              <w:t xml:space="preserve"> </w:t>
            </w:r>
            <w:r>
              <w:rPr>
                <w:sz w:val="18"/>
                <w:szCs w:val="18"/>
              </w:rPr>
              <w:t>kWh/year in video streaming mode. NMR, as a proxy, applied a power level of 1.5 Watts to Xbox and PS4’s usage averages and assumed that users only watch HD movies</w:t>
            </w:r>
            <w:r w:rsidR="008429E0">
              <w:rPr>
                <w:sz w:val="18"/>
                <w:szCs w:val="18"/>
              </w:rPr>
              <w:t>,</w:t>
            </w:r>
            <w:r>
              <w:rPr>
                <w:sz w:val="18"/>
                <w:szCs w:val="18"/>
              </w:rPr>
              <w:t xml:space="preserve"> finding that using streaming devices like these would result in annual consumption of 1.3</w:t>
            </w:r>
            <w:r w:rsidR="008429E0">
              <w:rPr>
                <w:sz w:val="18"/>
                <w:szCs w:val="18"/>
              </w:rPr>
              <w:t xml:space="preserve"> </w:t>
            </w:r>
            <w:r>
              <w:rPr>
                <w:sz w:val="18"/>
                <w:szCs w:val="18"/>
              </w:rPr>
              <w:t>kWh/year and 700</w:t>
            </w:r>
            <w:r w:rsidR="008429E0">
              <w:rPr>
                <w:sz w:val="18"/>
                <w:szCs w:val="18"/>
              </w:rPr>
              <w:t xml:space="preserve"> </w:t>
            </w:r>
            <w:r>
              <w:rPr>
                <w:sz w:val="18"/>
                <w:szCs w:val="18"/>
              </w:rPr>
              <w:t>Watts/year, respectively.</w:t>
            </w:r>
          </w:p>
        </w:tc>
        <w:tc>
          <w:tcPr>
            <w:tcW w:w="1869" w:type="dxa"/>
            <w:tcBorders>
              <w:left w:val="single" w:sz="12" w:space="0" w:color="auto"/>
              <w:bottom w:val="single" w:sz="4" w:space="0" w:color="auto"/>
            </w:tcBorders>
            <w:vAlign w:val="center"/>
          </w:tcPr>
          <w:p w14:paraId="052ADEAC" w14:textId="77777777" w:rsidR="00805101" w:rsidRPr="001B05A5" w:rsidRDefault="00733F16" w:rsidP="00A41660">
            <w:pPr>
              <w:keepNext/>
              <w:keepLines/>
              <w:spacing w:after="0"/>
              <w:jc w:val="left"/>
              <w:rPr>
                <w:sz w:val="18"/>
                <w:szCs w:val="18"/>
              </w:rPr>
            </w:pPr>
            <w:r>
              <w:rPr>
                <w:sz w:val="18"/>
                <w:szCs w:val="18"/>
              </w:rPr>
              <w:t>Consumer education campaigns; partnership wit</w:t>
            </w:r>
            <w:r w:rsidR="008429E0">
              <w:rPr>
                <w:sz w:val="18"/>
                <w:szCs w:val="18"/>
              </w:rPr>
              <w:t>h policy</w:t>
            </w:r>
            <w:r>
              <w:rPr>
                <w:sz w:val="18"/>
                <w:szCs w:val="18"/>
              </w:rPr>
              <w:t>makers, specification and standard setting entities, and manufacturers (non-incentive based)</w:t>
            </w:r>
          </w:p>
        </w:tc>
      </w:tr>
      <w:tr w:rsidR="00733F16" w:rsidRPr="001B05A5" w14:paraId="6078DDD3" w14:textId="77777777" w:rsidTr="001222AA">
        <w:trPr>
          <w:cantSplit/>
          <w:jc w:val="center"/>
        </w:trPr>
        <w:tc>
          <w:tcPr>
            <w:tcW w:w="1330" w:type="dxa"/>
            <w:tcBorders>
              <w:top w:val="single" w:sz="4" w:space="0" w:color="auto"/>
              <w:bottom w:val="single" w:sz="4" w:space="0" w:color="auto"/>
            </w:tcBorders>
            <w:shd w:val="pct10" w:color="auto" w:fill="auto"/>
            <w:vAlign w:val="center"/>
          </w:tcPr>
          <w:p w14:paraId="0550EACD" w14:textId="77777777" w:rsidR="00733F16" w:rsidRPr="001B05A5" w:rsidRDefault="00733F16" w:rsidP="00A41660">
            <w:pPr>
              <w:keepNext/>
              <w:keepLines/>
              <w:spacing w:after="0"/>
              <w:jc w:val="left"/>
              <w:rPr>
                <w:sz w:val="18"/>
                <w:szCs w:val="18"/>
              </w:rPr>
            </w:pPr>
            <w:r>
              <w:rPr>
                <w:sz w:val="18"/>
                <w:szCs w:val="18"/>
              </w:rPr>
              <w:t>5) Power Scaling Improvements</w:t>
            </w:r>
          </w:p>
        </w:tc>
        <w:tc>
          <w:tcPr>
            <w:tcW w:w="1710" w:type="dxa"/>
            <w:tcBorders>
              <w:top w:val="single" w:sz="4" w:space="0" w:color="auto"/>
              <w:bottom w:val="single" w:sz="4" w:space="0" w:color="auto"/>
            </w:tcBorders>
            <w:shd w:val="pct10" w:color="auto" w:fill="auto"/>
            <w:vAlign w:val="center"/>
          </w:tcPr>
          <w:p w14:paraId="0C4C6CE7" w14:textId="77777777" w:rsidR="00733F16" w:rsidRPr="00BE7121" w:rsidRDefault="00733F16" w:rsidP="00A41660">
            <w:pPr>
              <w:keepNext/>
              <w:keepLines/>
              <w:spacing w:after="0"/>
              <w:jc w:val="left"/>
              <w:rPr>
                <w:sz w:val="18"/>
                <w:szCs w:val="18"/>
              </w:rPr>
            </w:pPr>
            <w:r>
              <w:rPr>
                <w:sz w:val="18"/>
                <w:szCs w:val="18"/>
              </w:rPr>
              <w:t>Only draw the amount of power needed to perform a given activity within each active mode.</w:t>
            </w:r>
          </w:p>
        </w:tc>
        <w:tc>
          <w:tcPr>
            <w:tcW w:w="1620" w:type="dxa"/>
            <w:tcBorders>
              <w:top w:val="single" w:sz="4" w:space="0" w:color="auto"/>
              <w:bottom w:val="single" w:sz="4" w:space="0" w:color="auto"/>
            </w:tcBorders>
            <w:shd w:val="pct10" w:color="auto" w:fill="auto"/>
            <w:vAlign w:val="center"/>
          </w:tcPr>
          <w:p w14:paraId="6AFA96C2" w14:textId="77777777" w:rsidR="00733F16" w:rsidRPr="001B05A5" w:rsidRDefault="00733F16" w:rsidP="00A41660">
            <w:pPr>
              <w:keepNext/>
              <w:keepLines/>
              <w:spacing w:after="0"/>
              <w:jc w:val="left"/>
              <w:rPr>
                <w:sz w:val="18"/>
                <w:szCs w:val="18"/>
              </w:rPr>
            </w:pPr>
            <w:r>
              <w:rPr>
                <w:sz w:val="18"/>
                <w:szCs w:val="18"/>
              </w:rPr>
              <w:t>48</w:t>
            </w:r>
            <w:r w:rsidR="008429E0">
              <w:rPr>
                <w:sz w:val="18"/>
                <w:szCs w:val="18"/>
              </w:rPr>
              <w:t xml:space="preserve"> </w:t>
            </w:r>
            <w:r>
              <w:rPr>
                <w:sz w:val="18"/>
                <w:szCs w:val="18"/>
              </w:rPr>
              <w:t>kWh/year or 21%</w:t>
            </w:r>
            <w:r w:rsidR="008429E0">
              <w:rPr>
                <w:sz w:val="18"/>
                <w:szCs w:val="18"/>
              </w:rPr>
              <w:t>,</w:t>
            </w:r>
            <w:r>
              <w:rPr>
                <w:sz w:val="18"/>
                <w:szCs w:val="18"/>
              </w:rPr>
              <w:t xml:space="preserve"> and 33</w:t>
            </w:r>
            <w:r w:rsidR="008429E0">
              <w:rPr>
                <w:sz w:val="18"/>
                <w:szCs w:val="18"/>
              </w:rPr>
              <w:t xml:space="preserve"> </w:t>
            </w:r>
            <w:r>
              <w:rPr>
                <w:sz w:val="18"/>
                <w:szCs w:val="18"/>
              </w:rPr>
              <w:t xml:space="preserve">kWh or 18% savings in average UEC of </w:t>
            </w:r>
            <w:r w:rsidRPr="00EE4C16">
              <w:rPr>
                <w:sz w:val="18"/>
                <w:szCs w:val="18"/>
              </w:rPr>
              <w:t>Xbox and PS4</w:t>
            </w:r>
            <w:r>
              <w:rPr>
                <w:i/>
                <w:sz w:val="18"/>
                <w:szCs w:val="18"/>
              </w:rPr>
              <w:t xml:space="preserve"> </w:t>
            </w:r>
            <w:r>
              <w:rPr>
                <w:sz w:val="18"/>
                <w:szCs w:val="18"/>
              </w:rPr>
              <w:t>units, respectively</w:t>
            </w:r>
          </w:p>
        </w:tc>
        <w:tc>
          <w:tcPr>
            <w:tcW w:w="6390" w:type="dxa"/>
            <w:tcBorders>
              <w:top w:val="single" w:sz="4" w:space="0" w:color="auto"/>
              <w:bottom w:val="single" w:sz="4" w:space="0" w:color="auto"/>
            </w:tcBorders>
            <w:shd w:val="pct10" w:color="auto" w:fill="auto"/>
            <w:vAlign w:val="center"/>
          </w:tcPr>
          <w:p w14:paraId="2A767D33" w14:textId="77777777" w:rsidR="00733F16" w:rsidRDefault="00733F16" w:rsidP="00A41660">
            <w:pPr>
              <w:keepNext/>
              <w:keepLines/>
              <w:spacing w:after="0"/>
              <w:jc w:val="left"/>
              <w:rPr>
                <w:sz w:val="18"/>
                <w:szCs w:val="18"/>
              </w:rPr>
            </w:pPr>
            <w:r>
              <w:rPr>
                <w:sz w:val="18"/>
                <w:szCs w:val="18"/>
              </w:rPr>
              <w:t xml:space="preserve">-NRDC reported that video game consoles use 112-137 Watts in game play, 74-89 Watts </w:t>
            </w:r>
            <w:r w:rsidR="008429E0">
              <w:rPr>
                <w:sz w:val="18"/>
                <w:szCs w:val="18"/>
              </w:rPr>
              <w:t xml:space="preserve">in </w:t>
            </w:r>
            <w:r>
              <w:rPr>
                <w:sz w:val="18"/>
                <w:szCs w:val="18"/>
              </w:rPr>
              <w:t>video streaming, and 72-88 Watts in navigation or TV mode.</w:t>
            </w:r>
          </w:p>
          <w:p w14:paraId="1EADD696" w14:textId="77777777" w:rsidR="00733F16" w:rsidRDefault="00733F16" w:rsidP="00A41660">
            <w:pPr>
              <w:keepNext/>
              <w:keepLines/>
              <w:spacing w:after="0"/>
              <w:jc w:val="left"/>
              <w:rPr>
                <w:sz w:val="18"/>
                <w:szCs w:val="18"/>
              </w:rPr>
            </w:pPr>
          </w:p>
          <w:p w14:paraId="0E0DEFCB" w14:textId="77777777" w:rsidR="00733F16" w:rsidRDefault="00733F16" w:rsidP="00A41660">
            <w:pPr>
              <w:keepNext/>
              <w:keepLines/>
              <w:spacing w:after="0"/>
              <w:jc w:val="left"/>
              <w:rPr>
                <w:sz w:val="18"/>
                <w:szCs w:val="18"/>
              </w:rPr>
            </w:pPr>
            <w:r>
              <w:rPr>
                <w:sz w:val="18"/>
                <w:szCs w:val="18"/>
              </w:rPr>
              <w:t>-Based on the average usage figures that NRDC reported in each mode, NMR estimated that the Xbox UEC in active modes (game play, video streaming, and navigation/TV modes) is 129</w:t>
            </w:r>
            <w:r w:rsidR="008429E0">
              <w:rPr>
                <w:sz w:val="18"/>
                <w:szCs w:val="18"/>
              </w:rPr>
              <w:t xml:space="preserve"> </w:t>
            </w:r>
            <w:r>
              <w:rPr>
                <w:sz w:val="18"/>
                <w:szCs w:val="18"/>
              </w:rPr>
              <w:t>kWh/year and PS4’s is 120</w:t>
            </w:r>
            <w:r w:rsidR="008429E0">
              <w:rPr>
                <w:sz w:val="18"/>
                <w:szCs w:val="18"/>
              </w:rPr>
              <w:t xml:space="preserve"> </w:t>
            </w:r>
            <w:r>
              <w:rPr>
                <w:sz w:val="18"/>
                <w:szCs w:val="18"/>
              </w:rPr>
              <w:t xml:space="preserve">kWh/year. </w:t>
            </w:r>
          </w:p>
          <w:p w14:paraId="47B4F42B" w14:textId="77777777" w:rsidR="00733F16" w:rsidRDefault="00733F16" w:rsidP="00A41660">
            <w:pPr>
              <w:keepNext/>
              <w:keepLines/>
              <w:spacing w:after="0"/>
              <w:jc w:val="left"/>
              <w:rPr>
                <w:sz w:val="18"/>
                <w:szCs w:val="18"/>
              </w:rPr>
            </w:pPr>
          </w:p>
          <w:p w14:paraId="04080305" w14:textId="77777777" w:rsidR="00733F16" w:rsidRPr="00BE7121" w:rsidRDefault="00733F16" w:rsidP="008429E0">
            <w:pPr>
              <w:keepNext/>
              <w:keepLines/>
              <w:spacing w:after="0"/>
              <w:jc w:val="left"/>
              <w:rPr>
                <w:sz w:val="18"/>
                <w:szCs w:val="18"/>
              </w:rPr>
            </w:pPr>
            <w:r>
              <w:rPr>
                <w:sz w:val="18"/>
                <w:szCs w:val="18"/>
              </w:rPr>
              <w:t>-Applying NRDC’s suggested change in power scaling to a difference of 80% between the lowest consuming active mode (navigation/TV) and the highest consuming (game play), NMR calculated that the Xbox’s active mode UEC would be 87</w:t>
            </w:r>
            <w:r w:rsidR="008429E0">
              <w:rPr>
                <w:sz w:val="18"/>
                <w:szCs w:val="18"/>
              </w:rPr>
              <w:t xml:space="preserve"> </w:t>
            </w:r>
            <w:r>
              <w:rPr>
                <w:sz w:val="18"/>
                <w:szCs w:val="18"/>
              </w:rPr>
              <w:t>kWh/year and PS4’s would be 81</w:t>
            </w:r>
            <w:r w:rsidR="008429E0">
              <w:rPr>
                <w:sz w:val="18"/>
                <w:szCs w:val="18"/>
              </w:rPr>
              <w:t xml:space="preserve"> </w:t>
            </w:r>
            <w:r>
              <w:rPr>
                <w:sz w:val="18"/>
                <w:szCs w:val="18"/>
              </w:rPr>
              <w:t>kWh/year (this would keep the gaming mode power stable but reduce the power of the two less intensive modes).</w:t>
            </w:r>
          </w:p>
        </w:tc>
        <w:tc>
          <w:tcPr>
            <w:tcW w:w="1869" w:type="dxa"/>
            <w:vMerge w:val="restart"/>
            <w:tcBorders>
              <w:top w:val="single" w:sz="4" w:space="0" w:color="auto"/>
              <w:left w:val="single" w:sz="12" w:space="0" w:color="auto"/>
            </w:tcBorders>
            <w:shd w:val="pct10" w:color="auto" w:fill="auto"/>
            <w:vAlign w:val="center"/>
          </w:tcPr>
          <w:p w14:paraId="426891C9" w14:textId="77777777" w:rsidR="00733F16" w:rsidRPr="001B05A5" w:rsidRDefault="00733F16" w:rsidP="00A41660">
            <w:pPr>
              <w:keepNext/>
              <w:keepLines/>
              <w:spacing w:after="0"/>
              <w:jc w:val="left"/>
              <w:rPr>
                <w:sz w:val="18"/>
                <w:szCs w:val="18"/>
              </w:rPr>
            </w:pPr>
            <w:r>
              <w:rPr>
                <w:sz w:val="18"/>
                <w:szCs w:val="18"/>
              </w:rPr>
              <w:t>Partnership with policymakers, specification and standard setting entities, and manufacturers (non-incentive based)</w:t>
            </w:r>
          </w:p>
          <w:p w14:paraId="40ADA3FC" w14:textId="77777777" w:rsidR="00733F16" w:rsidRPr="001B05A5" w:rsidRDefault="00733F16" w:rsidP="00A41660">
            <w:pPr>
              <w:keepNext/>
              <w:keepLines/>
              <w:spacing w:after="0"/>
              <w:jc w:val="left"/>
              <w:rPr>
                <w:sz w:val="18"/>
                <w:szCs w:val="18"/>
              </w:rPr>
            </w:pPr>
          </w:p>
        </w:tc>
      </w:tr>
      <w:tr w:rsidR="00733F16" w:rsidRPr="001B05A5" w14:paraId="6EEDF83A" w14:textId="77777777" w:rsidTr="001222AA">
        <w:trPr>
          <w:cantSplit/>
          <w:jc w:val="center"/>
        </w:trPr>
        <w:tc>
          <w:tcPr>
            <w:tcW w:w="1330" w:type="dxa"/>
            <w:tcBorders>
              <w:top w:val="single" w:sz="4" w:space="0" w:color="auto"/>
              <w:bottom w:val="single" w:sz="12" w:space="0" w:color="auto"/>
            </w:tcBorders>
            <w:shd w:val="pct10" w:color="auto" w:fill="auto"/>
            <w:vAlign w:val="center"/>
          </w:tcPr>
          <w:p w14:paraId="17E2DB58" w14:textId="77777777" w:rsidR="00733F16" w:rsidRPr="00931D8E" w:rsidRDefault="00733F16" w:rsidP="00A41660">
            <w:pPr>
              <w:keepNext/>
              <w:keepLines/>
              <w:spacing w:after="0"/>
              <w:jc w:val="left"/>
              <w:rPr>
                <w:sz w:val="18"/>
                <w:szCs w:val="18"/>
              </w:rPr>
            </w:pPr>
            <w:r>
              <w:rPr>
                <w:sz w:val="18"/>
                <w:szCs w:val="18"/>
              </w:rPr>
              <w:t>6) USB Charging Power Reduction</w:t>
            </w:r>
          </w:p>
        </w:tc>
        <w:tc>
          <w:tcPr>
            <w:tcW w:w="1710" w:type="dxa"/>
            <w:tcBorders>
              <w:top w:val="single" w:sz="4" w:space="0" w:color="auto"/>
              <w:bottom w:val="single" w:sz="12" w:space="0" w:color="auto"/>
            </w:tcBorders>
            <w:shd w:val="pct10" w:color="auto" w:fill="auto"/>
            <w:vAlign w:val="center"/>
          </w:tcPr>
          <w:p w14:paraId="750583D3" w14:textId="77777777" w:rsidR="00733F16" w:rsidRDefault="00733F16" w:rsidP="00A41660">
            <w:pPr>
              <w:keepNext/>
              <w:keepLines/>
              <w:spacing w:after="0"/>
              <w:jc w:val="left"/>
              <w:rPr>
                <w:sz w:val="18"/>
                <w:szCs w:val="18"/>
              </w:rPr>
            </w:pPr>
            <w:r>
              <w:rPr>
                <w:sz w:val="18"/>
                <w:szCs w:val="18"/>
              </w:rPr>
              <w:t xml:space="preserve">Ensure that the capability that allows users to charge extraneous devices through USB during standby only draws energy </w:t>
            </w:r>
            <w:r w:rsidRPr="00735044">
              <w:rPr>
                <w:i/>
                <w:sz w:val="18"/>
                <w:szCs w:val="18"/>
              </w:rPr>
              <w:t>while</w:t>
            </w:r>
            <w:r>
              <w:rPr>
                <w:sz w:val="18"/>
                <w:szCs w:val="18"/>
              </w:rPr>
              <w:t xml:space="preserve"> charging devices.</w:t>
            </w:r>
          </w:p>
        </w:tc>
        <w:tc>
          <w:tcPr>
            <w:tcW w:w="1620" w:type="dxa"/>
            <w:tcBorders>
              <w:top w:val="single" w:sz="4" w:space="0" w:color="auto"/>
              <w:bottom w:val="single" w:sz="12" w:space="0" w:color="auto"/>
            </w:tcBorders>
            <w:shd w:val="pct10" w:color="auto" w:fill="auto"/>
            <w:vAlign w:val="center"/>
          </w:tcPr>
          <w:p w14:paraId="6F9F3314" w14:textId="77777777" w:rsidR="00733F16" w:rsidRDefault="00733F16" w:rsidP="00A41660">
            <w:pPr>
              <w:keepNext/>
              <w:keepLines/>
              <w:spacing w:after="0"/>
              <w:jc w:val="left"/>
              <w:rPr>
                <w:sz w:val="18"/>
                <w:szCs w:val="18"/>
              </w:rPr>
            </w:pPr>
            <w:r>
              <w:rPr>
                <w:sz w:val="18"/>
                <w:szCs w:val="18"/>
              </w:rPr>
              <w:t>21</w:t>
            </w:r>
            <w:r w:rsidR="008429E0">
              <w:rPr>
                <w:sz w:val="18"/>
                <w:szCs w:val="18"/>
              </w:rPr>
              <w:t xml:space="preserve"> </w:t>
            </w:r>
            <w:r>
              <w:rPr>
                <w:sz w:val="18"/>
                <w:szCs w:val="18"/>
              </w:rPr>
              <w:t xml:space="preserve">kWh/year or 11% savings in </w:t>
            </w:r>
            <w:r w:rsidRPr="00EE4C16">
              <w:rPr>
                <w:sz w:val="18"/>
                <w:szCs w:val="18"/>
              </w:rPr>
              <w:t>average UEC of PS4 units</w:t>
            </w:r>
          </w:p>
        </w:tc>
        <w:tc>
          <w:tcPr>
            <w:tcW w:w="6390" w:type="dxa"/>
            <w:tcBorders>
              <w:top w:val="single" w:sz="4" w:space="0" w:color="auto"/>
              <w:bottom w:val="single" w:sz="12" w:space="0" w:color="auto"/>
            </w:tcBorders>
            <w:shd w:val="pct10" w:color="auto" w:fill="auto"/>
            <w:vAlign w:val="center"/>
          </w:tcPr>
          <w:p w14:paraId="4977892A" w14:textId="77777777" w:rsidR="00733F16" w:rsidRDefault="00733F16" w:rsidP="00A41660">
            <w:pPr>
              <w:keepNext/>
              <w:keepLines/>
              <w:spacing w:after="0"/>
              <w:jc w:val="left"/>
              <w:rPr>
                <w:sz w:val="18"/>
                <w:szCs w:val="18"/>
              </w:rPr>
            </w:pPr>
            <w:r>
              <w:rPr>
                <w:sz w:val="18"/>
                <w:szCs w:val="18"/>
              </w:rPr>
              <w:t xml:space="preserve">-NRDC reported that PS4’s USB charging capability in standby results in the device’s consumption being 3 Watts more than it would be if </w:t>
            </w:r>
            <w:r w:rsidR="008429E0">
              <w:rPr>
                <w:sz w:val="18"/>
                <w:szCs w:val="18"/>
              </w:rPr>
              <w:t>this</w:t>
            </w:r>
            <w:r>
              <w:rPr>
                <w:sz w:val="18"/>
                <w:szCs w:val="18"/>
              </w:rPr>
              <w:t xml:space="preserve"> were not a feature.</w:t>
            </w:r>
          </w:p>
          <w:p w14:paraId="09D5F6B0" w14:textId="77777777" w:rsidR="00733F16" w:rsidRDefault="00733F16" w:rsidP="00A41660">
            <w:pPr>
              <w:keepNext/>
              <w:keepLines/>
              <w:spacing w:after="0"/>
              <w:jc w:val="left"/>
              <w:rPr>
                <w:sz w:val="18"/>
                <w:szCs w:val="18"/>
              </w:rPr>
            </w:pPr>
          </w:p>
          <w:p w14:paraId="70657D06" w14:textId="77777777" w:rsidR="00733F16" w:rsidRDefault="00733F16" w:rsidP="00A41660">
            <w:pPr>
              <w:keepNext/>
              <w:keepLines/>
              <w:spacing w:after="0"/>
              <w:jc w:val="left"/>
              <w:rPr>
                <w:sz w:val="18"/>
                <w:szCs w:val="18"/>
              </w:rPr>
            </w:pPr>
            <w:r>
              <w:rPr>
                <w:sz w:val="18"/>
                <w:szCs w:val="18"/>
              </w:rPr>
              <w:t>-NMR calculated that if PS4 units are in standby for about 19 hours/day (as reported by NRDC) and this feature were removed</w:t>
            </w:r>
            <w:r w:rsidR="008429E0">
              <w:rPr>
                <w:sz w:val="18"/>
                <w:szCs w:val="18"/>
              </w:rPr>
              <w:t>,</w:t>
            </w:r>
            <w:r>
              <w:rPr>
                <w:sz w:val="18"/>
                <w:szCs w:val="18"/>
              </w:rPr>
              <w:t xml:space="preserve"> then their standby mode consumption would reduce to 38</w:t>
            </w:r>
            <w:r w:rsidR="008429E0">
              <w:rPr>
                <w:sz w:val="18"/>
                <w:szCs w:val="18"/>
              </w:rPr>
              <w:t xml:space="preserve"> </w:t>
            </w:r>
            <w:r>
              <w:rPr>
                <w:sz w:val="18"/>
                <w:szCs w:val="18"/>
              </w:rPr>
              <w:t>kWh/year from 59</w:t>
            </w:r>
            <w:r w:rsidR="008429E0">
              <w:rPr>
                <w:sz w:val="18"/>
                <w:szCs w:val="18"/>
              </w:rPr>
              <w:t xml:space="preserve"> </w:t>
            </w:r>
            <w:r>
              <w:rPr>
                <w:sz w:val="18"/>
                <w:szCs w:val="18"/>
              </w:rPr>
              <w:t>kWh/year.*</w:t>
            </w:r>
          </w:p>
        </w:tc>
        <w:tc>
          <w:tcPr>
            <w:tcW w:w="1869" w:type="dxa"/>
            <w:vMerge/>
            <w:tcBorders>
              <w:left w:val="single" w:sz="12" w:space="0" w:color="auto"/>
              <w:bottom w:val="single" w:sz="12" w:space="0" w:color="auto"/>
            </w:tcBorders>
            <w:shd w:val="pct10" w:color="auto" w:fill="auto"/>
            <w:vAlign w:val="center"/>
          </w:tcPr>
          <w:p w14:paraId="007A4D23" w14:textId="77777777" w:rsidR="00733F16" w:rsidRPr="001B05A5" w:rsidRDefault="00733F16" w:rsidP="00A41660">
            <w:pPr>
              <w:keepNext/>
              <w:keepLines/>
              <w:spacing w:after="0"/>
              <w:jc w:val="left"/>
              <w:rPr>
                <w:sz w:val="18"/>
                <w:szCs w:val="18"/>
              </w:rPr>
            </w:pPr>
          </w:p>
        </w:tc>
      </w:tr>
    </w:tbl>
    <w:p w14:paraId="3A58B1F9" w14:textId="77777777" w:rsidR="00F12ACA" w:rsidRPr="00F537F1" w:rsidRDefault="00FD7276" w:rsidP="00F537F1">
      <w:pPr>
        <w:keepNext/>
        <w:keepLines/>
        <w:spacing w:after="40" w:line="240" w:lineRule="auto"/>
        <w:rPr>
          <w:sz w:val="20"/>
          <w:szCs w:val="20"/>
        </w:rPr>
      </w:pPr>
      <w:r w:rsidRPr="00F537F1">
        <w:rPr>
          <w:i/>
          <w:sz w:val="20"/>
          <w:szCs w:val="20"/>
        </w:rPr>
        <w:t>Source</w:t>
      </w:r>
      <w:r w:rsidRPr="00F537F1">
        <w:rPr>
          <w:sz w:val="20"/>
          <w:szCs w:val="20"/>
        </w:rPr>
        <w:t>: Natural Resources Defense Council (NRDC). “The Latest-Generation Video Game Consoles: How much energy do they waste when you’re not playing?” NRDC Issue Paper. IP:</w:t>
      </w:r>
      <w:r w:rsidR="006C5A8A">
        <w:rPr>
          <w:sz w:val="20"/>
          <w:szCs w:val="20"/>
        </w:rPr>
        <w:t xml:space="preserve"> </w:t>
      </w:r>
      <w:r w:rsidRPr="00F537F1">
        <w:rPr>
          <w:sz w:val="20"/>
          <w:szCs w:val="20"/>
        </w:rPr>
        <w:t xml:space="preserve">14-04-B. May 2014. Accessed </w:t>
      </w:r>
      <w:r w:rsidR="00EC5408" w:rsidRPr="00F537F1">
        <w:rPr>
          <w:sz w:val="20"/>
          <w:szCs w:val="20"/>
        </w:rPr>
        <w:t xml:space="preserve">July 14, 2014. </w:t>
      </w:r>
      <w:hyperlink r:id="rId45" w:history="1">
        <w:r w:rsidR="00EC5408" w:rsidRPr="00F537F1">
          <w:rPr>
            <w:rStyle w:val="Hyperlink"/>
            <w:sz w:val="20"/>
            <w:szCs w:val="20"/>
          </w:rPr>
          <w:t>http://www.nrdc.org/energy/game-consoles/</w:t>
        </w:r>
      </w:hyperlink>
    </w:p>
    <w:p w14:paraId="77B067DC" w14:textId="77777777" w:rsidR="008419ED" w:rsidRPr="00F537F1" w:rsidRDefault="008419ED" w:rsidP="00F537F1">
      <w:pPr>
        <w:keepNext/>
        <w:keepLines/>
        <w:spacing w:after="40" w:line="240" w:lineRule="auto"/>
        <w:jc w:val="left"/>
        <w:rPr>
          <w:sz w:val="20"/>
          <w:szCs w:val="20"/>
        </w:rPr>
      </w:pPr>
      <w:r w:rsidRPr="00F537F1">
        <w:rPr>
          <w:i/>
          <w:sz w:val="20"/>
          <w:szCs w:val="20"/>
        </w:rPr>
        <w:t xml:space="preserve">Note: </w:t>
      </w:r>
      <w:r w:rsidR="00462B98" w:rsidRPr="00F537F1">
        <w:rPr>
          <w:sz w:val="20"/>
          <w:szCs w:val="20"/>
        </w:rPr>
        <w:t xml:space="preserve">1) Measures shaded in grey are longer-term options; measures without shading are those </w:t>
      </w:r>
      <w:r w:rsidR="008429E0">
        <w:rPr>
          <w:sz w:val="20"/>
          <w:szCs w:val="20"/>
        </w:rPr>
        <w:t>that</w:t>
      </w:r>
      <w:r w:rsidR="00462B98" w:rsidRPr="00F537F1">
        <w:rPr>
          <w:sz w:val="20"/>
          <w:szCs w:val="20"/>
        </w:rPr>
        <w:t xml:space="preserve"> the Companies could implement in the shorter-term and </w:t>
      </w:r>
      <w:r w:rsidR="008429E0">
        <w:rPr>
          <w:sz w:val="20"/>
          <w:szCs w:val="20"/>
        </w:rPr>
        <w:t xml:space="preserve">that </w:t>
      </w:r>
      <w:r w:rsidR="00462B98" w:rsidRPr="00F537F1">
        <w:rPr>
          <w:sz w:val="20"/>
          <w:szCs w:val="20"/>
        </w:rPr>
        <w:t xml:space="preserve">do not require influencing manufacturers, legislators, or other entities. 2) </w:t>
      </w:r>
      <w:r w:rsidRPr="00F537F1">
        <w:rPr>
          <w:sz w:val="20"/>
          <w:szCs w:val="20"/>
        </w:rPr>
        <w:t xml:space="preserve">NMR calculated savings for measures using several secondary sources; </w:t>
      </w:r>
      <w:r w:rsidR="008429E0">
        <w:rPr>
          <w:sz w:val="20"/>
          <w:szCs w:val="20"/>
        </w:rPr>
        <w:t>therefore</w:t>
      </w:r>
      <w:r w:rsidRPr="00F537F1">
        <w:rPr>
          <w:sz w:val="20"/>
          <w:szCs w:val="20"/>
        </w:rPr>
        <w:t xml:space="preserve">, results </w:t>
      </w:r>
      <w:r w:rsidR="008429E0">
        <w:rPr>
          <w:sz w:val="20"/>
          <w:szCs w:val="20"/>
        </w:rPr>
        <w:t xml:space="preserve">should be interpreted </w:t>
      </w:r>
      <w:r w:rsidRPr="00F537F1">
        <w:rPr>
          <w:sz w:val="20"/>
          <w:szCs w:val="20"/>
        </w:rPr>
        <w:t xml:space="preserve">with caution. </w:t>
      </w:r>
      <w:r w:rsidR="00462B98" w:rsidRPr="00F537F1">
        <w:rPr>
          <w:sz w:val="20"/>
          <w:szCs w:val="20"/>
        </w:rPr>
        <w:t xml:space="preserve">3) </w:t>
      </w:r>
      <w:r w:rsidRPr="00F537F1">
        <w:rPr>
          <w:sz w:val="20"/>
          <w:szCs w:val="20"/>
        </w:rPr>
        <w:t>The implementation strategies reflect a mixture of suggestions from the literature and NMR’s own insights.</w:t>
      </w:r>
    </w:p>
    <w:p w14:paraId="458D4AEC" w14:textId="77777777" w:rsidR="006710BE" w:rsidRPr="00F537F1" w:rsidRDefault="00621B4F">
      <w:pPr>
        <w:spacing w:after="200"/>
        <w:jc w:val="left"/>
        <w:rPr>
          <w:rFonts w:ascii="Arial" w:eastAsiaTheme="majorEastAsia" w:hAnsi="Arial" w:cstheme="majorBidi"/>
          <w:b/>
          <w:bCs/>
          <w:sz w:val="20"/>
          <w:szCs w:val="20"/>
        </w:rPr>
      </w:pPr>
      <w:r w:rsidRPr="00F537F1">
        <w:rPr>
          <w:sz w:val="20"/>
          <w:szCs w:val="20"/>
        </w:rPr>
        <w:t>* NRDC points out that entirely removing this feature could encourage users to leave their units in active mode so that they can charge devices (in effect, potentially drawing more energy than would otherwise be used).</w:t>
      </w:r>
    </w:p>
    <w:p w14:paraId="58801E11" w14:textId="77777777" w:rsidR="00D1150B" w:rsidRDefault="00D1150B" w:rsidP="006710BE">
      <w:pPr>
        <w:pStyle w:val="Heading2"/>
        <w:sectPr w:rsidR="00D1150B" w:rsidSect="004C67E5">
          <w:pgSz w:w="15840" w:h="12240" w:orient="landscape"/>
          <w:pgMar w:top="1440" w:right="1440" w:bottom="1440" w:left="1440" w:header="720" w:footer="720" w:gutter="0"/>
          <w:cols w:space="720"/>
          <w:docGrid w:linePitch="360"/>
        </w:sectPr>
      </w:pPr>
    </w:p>
    <w:p w14:paraId="460E6651" w14:textId="77777777" w:rsidR="006710BE" w:rsidRDefault="006710BE" w:rsidP="006710BE">
      <w:pPr>
        <w:pStyle w:val="Heading2"/>
      </w:pPr>
      <w:bookmarkStart w:id="56" w:name="_Ref399765113"/>
      <w:bookmarkStart w:id="57" w:name="_Toc401667850"/>
      <w:r>
        <w:lastRenderedPageBreak/>
        <w:t>Smart Strips</w:t>
      </w:r>
      <w:bookmarkEnd w:id="56"/>
      <w:bookmarkEnd w:id="57"/>
    </w:p>
    <w:p w14:paraId="3177F9BC" w14:textId="77777777" w:rsidR="00633EF1" w:rsidRDefault="006710BE" w:rsidP="006710BE">
      <w:pPr>
        <w:rPr>
          <w:szCs w:val="24"/>
        </w:rPr>
      </w:pPr>
      <w:r w:rsidRPr="00A25870">
        <w:rPr>
          <w:szCs w:val="24"/>
        </w:rPr>
        <w:t xml:space="preserve">During its 2012 qualitative potential study for </w:t>
      </w:r>
      <w:r w:rsidR="002E5C50">
        <w:rPr>
          <w:szCs w:val="24"/>
        </w:rPr>
        <w:t xml:space="preserve">the </w:t>
      </w:r>
      <w:r w:rsidRPr="00A25870">
        <w:rPr>
          <w:szCs w:val="24"/>
        </w:rPr>
        <w:t>Massachusetts Program Administrators, NMR had addressed “smart strips” (also known as “advanced power strips”) as a potential key program measure for reducing overall consumer electronics energy consumption. The team reported that savings from smart strips will diminish as the efficiency of other devices advance</w:t>
      </w:r>
      <w:r w:rsidR="002E5C50">
        <w:rPr>
          <w:szCs w:val="24"/>
        </w:rPr>
        <w:t>s</w:t>
      </w:r>
      <w:r w:rsidRPr="00A25870">
        <w:rPr>
          <w:szCs w:val="24"/>
        </w:rPr>
        <w:t xml:space="preserve"> and that claiming the savings associated with them is challenging because user behavior continues to play a large part in their effectiveness. However, the team learned that </w:t>
      </w:r>
      <w:r w:rsidR="002E5C50">
        <w:rPr>
          <w:szCs w:val="24"/>
        </w:rPr>
        <w:t xml:space="preserve">the </w:t>
      </w:r>
      <w:r w:rsidRPr="00A25870">
        <w:rPr>
          <w:szCs w:val="24"/>
        </w:rPr>
        <w:t xml:space="preserve">New York State Energy Research and Development Authority (NYSERDA) found it effective to directly install smart strips during one of </w:t>
      </w:r>
      <w:r w:rsidR="002E5C50">
        <w:rPr>
          <w:szCs w:val="24"/>
        </w:rPr>
        <w:t>its</w:t>
      </w:r>
      <w:r w:rsidRPr="00A25870">
        <w:rPr>
          <w:szCs w:val="24"/>
        </w:rPr>
        <w:t xml:space="preserve"> home energy assessment program</w:t>
      </w:r>
      <w:r w:rsidR="002F29BB">
        <w:rPr>
          <w:szCs w:val="24"/>
        </w:rPr>
        <w:t>s</w:t>
      </w:r>
      <w:r w:rsidRPr="00A25870">
        <w:rPr>
          <w:szCs w:val="24"/>
        </w:rPr>
        <w:t xml:space="preserve"> </w:t>
      </w:r>
      <w:r w:rsidR="002E5C50">
        <w:rPr>
          <w:szCs w:val="24"/>
        </w:rPr>
        <w:t>because</w:t>
      </w:r>
      <w:r w:rsidRPr="00A25870">
        <w:rPr>
          <w:szCs w:val="24"/>
        </w:rPr>
        <w:t xml:space="preserve"> direct installation ensures that the units are properly set up to maximize savings opportunities.</w:t>
      </w:r>
      <w:r w:rsidRPr="00A25870">
        <w:rPr>
          <w:rStyle w:val="FootnoteReference"/>
          <w:szCs w:val="24"/>
        </w:rPr>
        <w:footnoteReference w:id="24"/>
      </w:r>
      <w:r w:rsidRPr="00A25870">
        <w:rPr>
          <w:szCs w:val="24"/>
        </w:rPr>
        <w:t xml:space="preserve"> Further, a Lockheed Martin, Inc.</w:t>
      </w:r>
      <w:r w:rsidR="002E5C50">
        <w:rPr>
          <w:szCs w:val="24"/>
        </w:rPr>
        <w:t>,</w:t>
      </w:r>
      <w:r w:rsidRPr="00A25870">
        <w:rPr>
          <w:szCs w:val="24"/>
        </w:rPr>
        <w:t xml:space="preserve"> and Energy Solutions study conducted in late 2009 and early 2010 found that households could save 106</w:t>
      </w:r>
      <w:r w:rsidR="002E5C50">
        <w:rPr>
          <w:szCs w:val="24"/>
        </w:rPr>
        <w:t xml:space="preserve"> </w:t>
      </w:r>
      <w:r w:rsidRPr="00A25870">
        <w:rPr>
          <w:szCs w:val="24"/>
        </w:rPr>
        <w:t>kWh/year</w:t>
      </w:r>
      <w:r w:rsidR="002E5C50">
        <w:rPr>
          <w:szCs w:val="24"/>
        </w:rPr>
        <w:t>,</w:t>
      </w:r>
      <w:r w:rsidRPr="00A25870">
        <w:rPr>
          <w:szCs w:val="24"/>
        </w:rPr>
        <w:t xml:space="preserve"> on average</w:t>
      </w:r>
      <w:r w:rsidR="002E5C50">
        <w:rPr>
          <w:szCs w:val="24"/>
        </w:rPr>
        <w:t>,</w:t>
      </w:r>
      <w:r w:rsidRPr="00A25870">
        <w:rPr>
          <w:szCs w:val="24"/>
        </w:rPr>
        <w:t xml:space="preserve"> </w:t>
      </w:r>
      <w:r w:rsidR="002E5C50">
        <w:rPr>
          <w:szCs w:val="24"/>
        </w:rPr>
        <w:t>by</w:t>
      </w:r>
      <w:r w:rsidRPr="00A25870">
        <w:rPr>
          <w:szCs w:val="24"/>
        </w:rPr>
        <w:t xml:space="preserve"> using smart strips with their consumer electronics equipment.</w:t>
      </w:r>
      <w:r w:rsidRPr="00A25870">
        <w:rPr>
          <w:rStyle w:val="FootnoteReference"/>
          <w:szCs w:val="24"/>
        </w:rPr>
        <w:footnoteReference w:id="25"/>
      </w:r>
    </w:p>
    <w:p w14:paraId="62B45FA3" w14:textId="77777777" w:rsidR="00633EF1" w:rsidRDefault="00633EF1" w:rsidP="006710BE">
      <w:pPr>
        <w:rPr>
          <w:szCs w:val="24"/>
        </w:rPr>
      </w:pPr>
    </w:p>
    <w:p w14:paraId="3CC5CEDA" w14:textId="77777777" w:rsidR="00633EF1" w:rsidRDefault="00633EF1" w:rsidP="006710BE">
      <w:pPr>
        <w:rPr>
          <w:szCs w:val="24"/>
        </w:rPr>
        <w:sectPr w:rsidR="00633EF1" w:rsidSect="004C67E5">
          <w:pgSz w:w="12240" w:h="15840"/>
          <w:pgMar w:top="1440" w:right="1440" w:bottom="1440" w:left="1440" w:header="720" w:footer="720" w:gutter="0"/>
          <w:cols w:space="720"/>
          <w:docGrid w:linePitch="360"/>
        </w:sectPr>
      </w:pPr>
    </w:p>
    <w:p w14:paraId="0B9D447C" w14:textId="77777777" w:rsidR="00B62FDD" w:rsidRDefault="00B62FDD" w:rsidP="004C67E5">
      <w:pPr>
        <w:pStyle w:val="Heading1"/>
      </w:pPr>
      <w:bookmarkStart w:id="58" w:name="_Toc399859729"/>
      <w:bookmarkStart w:id="59" w:name="_Toc399859787"/>
      <w:bookmarkStart w:id="60" w:name="_Toc399860132"/>
      <w:bookmarkStart w:id="61" w:name="_Toc399946321"/>
      <w:bookmarkStart w:id="62" w:name="_Ref398831417"/>
      <w:bookmarkStart w:id="63" w:name="_Toc401667851"/>
      <w:bookmarkEnd w:id="58"/>
      <w:bookmarkEnd w:id="59"/>
      <w:bookmarkEnd w:id="60"/>
      <w:bookmarkEnd w:id="61"/>
      <w:r>
        <w:lastRenderedPageBreak/>
        <w:t>Market Considerations</w:t>
      </w:r>
      <w:bookmarkEnd w:id="62"/>
      <w:bookmarkEnd w:id="63"/>
    </w:p>
    <w:p w14:paraId="2B5900DF" w14:textId="0D5793A6" w:rsidR="00B62FDD" w:rsidRDefault="008971EB" w:rsidP="00B62FDD">
      <w:r>
        <w:t>The energy savings opportunities presented in the previous section must be considered within the context of market dynamics</w:t>
      </w:r>
      <w:r w:rsidR="00560A31">
        <w:t>,</w:t>
      </w:r>
      <w:r>
        <w:t xml:space="preserve"> which might impact the effectiveness </w:t>
      </w:r>
      <w:r w:rsidR="00560A31">
        <w:t xml:space="preserve">of a program </w:t>
      </w:r>
      <w:r>
        <w:t xml:space="preserve">or </w:t>
      </w:r>
      <w:r w:rsidR="00560A31">
        <w:t xml:space="preserve">its </w:t>
      </w:r>
      <w:r>
        <w:t xml:space="preserve">ability to successfully implement or address measures. In this section, NMR reports ENERGY STAR market penetration and other </w:t>
      </w:r>
      <w:r w:rsidR="00EE4C16">
        <w:t>product</w:t>
      </w:r>
      <w:r w:rsidR="00560A31">
        <w:t xml:space="preserve"> </w:t>
      </w:r>
      <w:r>
        <w:t>category</w:t>
      </w:r>
      <w:r w:rsidR="00560A31">
        <w:t>-</w:t>
      </w:r>
      <w:r>
        <w:t xml:space="preserve">specific </w:t>
      </w:r>
      <w:r w:rsidR="00E178EA">
        <w:t>market considerations that have the potential to</w:t>
      </w:r>
      <w:r w:rsidR="0062748D">
        <w:t xml:space="preserve"> limit or</w:t>
      </w:r>
      <w:r w:rsidR="00E178EA">
        <w:t xml:space="preserve"> disrupt program intervention.</w:t>
      </w:r>
    </w:p>
    <w:p w14:paraId="10832ADB" w14:textId="77777777" w:rsidR="00AB6820" w:rsidRDefault="00AB6820" w:rsidP="00AB6820">
      <w:pPr>
        <w:pStyle w:val="Heading2"/>
      </w:pPr>
      <w:bookmarkStart w:id="64" w:name="_Toc401667852"/>
      <w:r>
        <w:t>ENERGY STAR Market Penetration</w:t>
      </w:r>
      <w:bookmarkEnd w:id="64"/>
    </w:p>
    <w:p w14:paraId="130FBDBF" w14:textId="720F52A3" w:rsidR="005321C7" w:rsidRDefault="00AB6820" w:rsidP="00AB6820">
      <w:r>
        <w:t>ENERGY STAR partners are required to supply ENERGY STAR with their U</w:t>
      </w:r>
      <w:r w:rsidR="00CF029F">
        <w:t>.</w:t>
      </w:r>
      <w:r>
        <w:t>S</w:t>
      </w:r>
      <w:r w:rsidR="00CF029F">
        <w:t>.</w:t>
      </w:r>
      <w:r>
        <w:t xml:space="preserve"> shipment data at the end of each year. Their data offer insight into ENERGY STAR market penetration in the country by comparing the number of ENERGY STAR units shipped to the number of total units shipped in a given year. </w:t>
      </w:r>
      <w:r w:rsidR="00E178EA">
        <w:t xml:space="preserve">Three of the product categories </w:t>
      </w:r>
      <w:r>
        <w:t>that</w:t>
      </w:r>
      <w:r w:rsidR="00E178EA">
        <w:t xml:space="preserve"> NMR investigate</w:t>
      </w:r>
      <w:r w:rsidR="00EE4C16">
        <w:t>d</w:t>
      </w:r>
      <w:r w:rsidR="00E178EA">
        <w:t xml:space="preserve"> in this report were included in</w:t>
      </w:r>
      <w:r>
        <w:t xml:space="preserve"> ENERGY STAR</w:t>
      </w:r>
      <w:r w:rsidR="00E178EA">
        <w:t xml:space="preserve">’s market penetration report for 2013: TVs, STBs, and PCs. </w:t>
      </w:r>
      <w:r w:rsidR="00FB5048">
        <w:t xml:space="preserve">Of the three, </w:t>
      </w:r>
      <w:r w:rsidR="00E178EA">
        <w:t>TVs (84%) and STBs (89%) had</w:t>
      </w:r>
      <w:r>
        <w:t xml:space="preserve"> the highest market penetration in 2013</w:t>
      </w:r>
      <w:r w:rsidR="00EE4C16">
        <w:t xml:space="preserve"> </w:t>
      </w:r>
      <w:r>
        <w:t>(</w:t>
      </w:r>
      <w:r>
        <w:fldChar w:fldCharType="begin"/>
      </w:r>
      <w:r>
        <w:instrText xml:space="preserve"> REF _Ref395611900 \h </w:instrText>
      </w:r>
      <w:r>
        <w:fldChar w:fldCharType="separate"/>
      </w:r>
      <w:r w:rsidR="00302A02">
        <w:t xml:space="preserve">Table </w:t>
      </w:r>
      <w:r w:rsidR="00302A02">
        <w:rPr>
          <w:noProof/>
        </w:rPr>
        <w:t>8</w:t>
      </w:r>
      <w:r>
        <w:fldChar w:fldCharType="end"/>
      </w:r>
      <w:r>
        <w:t>).</w:t>
      </w:r>
    </w:p>
    <w:p w14:paraId="5DEF05FA" w14:textId="77777777" w:rsidR="00AB6820" w:rsidRDefault="00AB6820" w:rsidP="00AB6820">
      <w:r>
        <w:t xml:space="preserve">The </w:t>
      </w:r>
      <w:r w:rsidR="002B0092">
        <w:t>EEB</w:t>
      </w:r>
      <w:r>
        <w:t xml:space="preserve"> may wish to consider these penetration rates in any potential plans to leverage ENERGY STAR labeling in program incentive specifications. High market penetrations may indicat</w:t>
      </w:r>
      <w:r w:rsidR="00547CDA">
        <w:t>e</w:t>
      </w:r>
      <w:r>
        <w:t xml:space="preserve"> </w:t>
      </w:r>
      <w:r w:rsidR="005321C7">
        <w:t xml:space="preserve">a higher potential for </w:t>
      </w:r>
      <w:r>
        <w:t>free ridership. The market penetration rates available do not distinguish between models that are percentages or levels more efficient than ENERGY STAR; therefore, the rates do not offer concrete evidence for programs to avoid leveraging the ENERGY STAR label.</w:t>
      </w:r>
      <w:r w:rsidR="005321C7">
        <w:t xml:space="preserve"> It is also useful to consider that these penetrations are likely to change soon given new ENERGY STAR specifications that </w:t>
      </w:r>
      <w:r w:rsidR="00547CDA">
        <w:t>have already gone</w:t>
      </w:r>
      <w:r w:rsidR="005321C7">
        <w:t xml:space="preserve"> into effect </w:t>
      </w:r>
      <w:r w:rsidR="00547CDA">
        <w:t>in</w:t>
      </w:r>
      <w:r w:rsidR="005321C7">
        <w:t xml:space="preserve"> 2014 (PCs, June 2014), are going into effect later in 2014 (STBs, December 2014), or are in development stages (TVs).</w:t>
      </w:r>
    </w:p>
    <w:p w14:paraId="35C52D80" w14:textId="77777777" w:rsidR="00AB6820" w:rsidRDefault="00AB6820" w:rsidP="008E0459">
      <w:pPr>
        <w:pStyle w:val="Caption"/>
        <w:keepLines/>
      </w:pPr>
      <w:bookmarkStart w:id="65" w:name="_Ref395611900"/>
      <w:bookmarkStart w:id="66" w:name="_Toc400007932"/>
      <w:r>
        <w:t xml:space="preserve">Table </w:t>
      </w:r>
      <w:fldSimple w:instr=" SEQ Table \* ARABIC ">
        <w:r w:rsidR="00302A02">
          <w:rPr>
            <w:noProof/>
          </w:rPr>
          <w:t>8</w:t>
        </w:r>
      </w:fldSimple>
      <w:bookmarkEnd w:id="65"/>
      <w:r>
        <w:t xml:space="preserve">: Consumer Electronics Product Categories – </w:t>
      </w:r>
      <w:r w:rsidR="008E0459">
        <w:br/>
      </w:r>
      <w:r w:rsidR="00EE4C16">
        <w:t xml:space="preserve">ENERGY STAR </w:t>
      </w:r>
      <w:r>
        <w:t>Market Penetration (2013)</w:t>
      </w:r>
      <w:bookmarkEnd w:id="66"/>
    </w:p>
    <w:tbl>
      <w:tblPr>
        <w:tblStyle w:val="TableGrid"/>
        <w:tblW w:w="8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1"/>
        <w:gridCol w:w="3150"/>
        <w:gridCol w:w="3150"/>
      </w:tblGrid>
      <w:tr w:rsidR="005321C7" w:rsidRPr="001B05A5" w14:paraId="4FB4B4F9" w14:textId="77777777" w:rsidTr="005321C7">
        <w:trPr>
          <w:jc w:val="center"/>
        </w:trPr>
        <w:tc>
          <w:tcPr>
            <w:tcW w:w="2241" w:type="dxa"/>
            <w:tcBorders>
              <w:top w:val="single" w:sz="12" w:space="0" w:color="auto"/>
              <w:bottom w:val="double" w:sz="4" w:space="0" w:color="auto"/>
            </w:tcBorders>
            <w:vAlign w:val="center"/>
          </w:tcPr>
          <w:p w14:paraId="686F4DA1" w14:textId="77777777" w:rsidR="005321C7" w:rsidRPr="001B05A5" w:rsidRDefault="005321C7" w:rsidP="007A5AEB">
            <w:pPr>
              <w:spacing w:after="0"/>
              <w:jc w:val="left"/>
              <w:rPr>
                <w:b/>
                <w:sz w:val="18"/>
                <w:szCs w:val="18"/>
              </w:rPr>
            </w:pPr>
            <w:r>
              <w:rPr>
                <w:b/>
                <w:sz w:val="18"/>
                <w:szCs w:val="18"/>
              </w:rPr>
              <w:t>Product Category</w:t>
            </w:r>
          </w:p>
        </w:tc>
        <w:tc>
          <w:tcPr>
            <w:tcW w:w="3150" w:type="dxa"/>
            <w:tcBorders>
              <w:top w:val="single" w:sz="12" w:space="0" w:color="auto"/>
              <w:bottom w:val="double" w:sz="4" w:space="0" w:color="auto"/>
            </w:tcBorders>
            <w:vAlign w:val="center"/>
          </w:tcPr>
          <w:p w14:paraId="11021A4B" w14:textId="77777777" w:rsidR="005321C7" w:rsidRDefault="005321C7" w:rsidP="007A5AEB">
            <w:pPr>
              <w:spacing w:after="0"/>
              <w:jc w:val="center"/>
              <w:rPr>
                <w:b/>
                <w:sz w:val="18"/>
                <w:szCs w:val="18"/>
              </w:rPr>
            </w:pPr>
            <w:r>
              <w:rPr>
                <w:b/>
                <w:sz w:val="18"/>
                <w:szCs w:val="18"/>
              </w:rPr>
              <w:t>Number of Units Shipped in 2013</w:t>
            </w:r>
          </w:p>
        </w:tc>
        <w:tc>
          <w:tcPr>
            <w:tcW w:w="3150" w:type="dxa"/>
            <w:tcBorders>
              <w:top w:val="single" w:sz="12" w:space="0" w:color="auto"/>
              <w:bottom w:val="double" w:sz="4" w:space="0" w:color="auto"/>
            </w:tcBorders>
            <w:vAlign w:val="center"/>
          </w:tcPr>
          <w:p w14:paraId="18B76BF1" w14:textId="77777777" w:rsidR="005321C7" w:rsidRPr="001B05A5" w:rsidRDefault="005321C7" w:rsidP="007A5AEB">
            <w:pPr>
              <w:spacing w:after="0"/>
              <w:jc w:val="center"/>
              <w:rPr>
                <w:b/>
                <w:sz w:val="18"/>
                <w:szCs w:val="18"/>
              </w:rPr>
            </w:pPr>
            <w:r>
              <w:rPr>
                <w:b/>
                <w:sz w:val="18"/>
                <w:szCs w:val="18"/>
              </w:rPr>
              <w:t>% of Units Shipped with ENERGY STAR Label</w:t>
            </w:r>
          </w:p>
        </w:tc>
      </w:tr>
      <w:tr w:rsidR="005321C7" w:rsidRPr="001B05A5" w14:paraId="47825BC4" w14:textId="77777777" w:rsidTr="005321C7">
        <w:trPr>
          <w:jc w:val="center"/>
        </w:trPr>
        <w:tc>
          <w:tcPr>
            <w:tcW w:w="2241" w:type="dxa"/>
            <w:tcBorders>
              <w:top w:val="double" w:sz="4" w:space="0" w:color="auto"/>
            </w:tcBorders>
            <w:vAlign w:val="center"/>
          </w:tcPr>
          <w:p w14:paraId="628F85AD" w14:textId="77777777" w:rsidR="005321C7" w:rsidRPr="001B05A5" w:rsidRDefault="005321C7" w:rsidP="007A5AEB">
            <w:pPr>
              <w:spacing w:after="0"/>
              <w:jc w:val="left"/>
              <w:rPr>
                <w:sz w:val="18"/>
                <w:szCs w:val="18"/>
              </w:rPr>
            </w:pPr>
            <w:r>
              <w:rPr>
                <w:sz w:val="18"/>
                <w:szCs w:val="18"/>
              </w:rPr>
              <w:t>Televisions</w:t>
            </w:r>
          </w:p>
        </w:tc>
        <w:tc>
          <w:tcPr>
            <w:tcW w:w="3150" w:type="dxa"/>
            <w:tcBorders>
              <w:top w:val="double" w:sz="4" w:space="0" w:color="auto"/>
            </w:tcBorders>
            <w:vAlign w:val="center"/>
          </w:tcPr>
          <w:p w14:paraId="37083A28" w14:textId="77777777" w:rsidR="005321C7" w:rsidRPr="001B05A5" w:rsidRDefault="005321C7" w:rsidP="007A5AEB">
            <w:pPr>
              <w:spacing w:after="0"/>
              <w:jc w:val="center"/>
              <w:rPr>
                <w:sz w:val="18"/>
                <w:szCs w:val="18"/>
              </w:rPr>
            </w:pPr>
            <w:r>
              <w:rPr>
                <w:sz w:val="18"/>
                <w:szCs w:val="18"/>
              </w:rPr>
              <w:t>32,944</w:t>
            </w:r>
          </w:p>
        </w:tc>
        <w:tc>
          <w:tcPr>
            <w:tcW w:w="3150" w:type="dxa"/>
            <w:tcBorders>
              <w:top w:val="double" w:sz="4" w:space="0" w:color="auto"/>
            </w:tcBorders>
            <w:vAlign w:val="center"/>
          </w:tcPr>
          <w:p w14:paraId="51ABD11E" w14:textId="77777777" w:rsidR="005321C7" w:rsidRPr="001B05A5" w:rsidRDefault="005321C7" w:rsidP="007A5AEB">
            <w:pPr>
              <w:spacing w:after="0"/>
              <w:jc w:val="center"/>
              <w:rPr>
                <w:sz w:val="18"/>
                <w:szCs w:val="18"/>
              </w:rPr>
            </w:pPr>
            <w:r>
              <w:rPr>
                <w:sz w:val="18"/>
                <w:szCs w:val="18"/>
              </w:rPr>
              <w:t>84%</w:t>
            </w:r>
          </w:p>
        </w:tc>
      </w:tr>
      <w:tr w:rsidR="005321C7" w:rsidRPr="001B05A5" w14:paraId="56987F5A" w14:textId="77777777" w:rsidTr="005321C7">
        <w:trPr>
          <w:jc w:val="center"/>
        </w:trPr>
        <w:tc>
          <w:tcPr>
            <w:tcW w:w="2241" w:type="dxa"/>
            <w:vAlign w:val="center"/>
          </w:tcPr>
          <w:p w14:paraId="6F074F4F" w14:textId="77777777" w:rsidR="005321C7" w:rsidRPr="00931D8E" w:rsidRDefault="005321C7" w:rsidP="007A5AEB">
            <w:pPr>
              <w:spacing w:after="0"/>
              <w:jc w:val="left"/>
              <w:rPr>
                <w:sz w:val="18"/>
                <w:szCs w:val="18"/>
              </w:rPr>
            </w:pPr>
            <w:r>
              <w:rPr>
                <w:sz w:val="18"/>
                <w:szCs w:val="18"/>
              </w:rPr>
              <w:t>Set-Top Boxes</w:t>
            </w:r>
          </w:p>
        </w:tc>
        <w:tc>
          <w:tcPr>
            <w:tcW w:w="3150" w:type="dxa"/>
            <w:vAlign w:val="center"/>
          </w:tcPr>
          <w:p w14:paraId="067A7321" w14:textId="77777777" w:rsidR="005321C7" w:rsidRDefault="005321C7" w:rsidP="007A5AEB">
            <w:pPr>
              <w:spacing w:after="0"/>
              <w:jc w:val="center"/>
              <w:rPr>
                <w:sz w:val="18"/>
                <w:szCs w:val="18"/>
              </w:rPr>
            </w:pPr>
            <w:r>
              <w:rPr>
                <w:sz w:val="18"/>
                <w:szCs w:val="18"/>
              </w:rPr>
              <w:t>36,349</w:t>
            </w:r>
          </w:p>
        </w:tc>
        <w:tc>
          <w:tcPr>
            <w:tcW w:w="3150" w:type="dxa"/>
            <w:vAlign w:val="center"/>
          </w:tcPr>
          <w:p w14:paraId="229F5BFB" w14:textId="77777777" w:rsidR="005321C7" w:rsidRDefault="005321C7" w:rsidP="007A5AEB">
            <w:pPr>
              <w:spacing w:after="0"/>
              <w:jc w:val="center"/>
              <w:rPr>
                <w:sz w:val="18"/>
                <w:szCs w:val="18"/>
              </w:rPr>
            </w:pPr>
            <w:r>
              <w:rPr>
                <w:sz w:val="18"/>
                <w:szCs w:val="18"/>
              </w:rPr>
              <w:t>89%</w:t>
            </w:r>
          </w:p>
        </w:tc>
      </w:tr>
      <w:tr w:rsidR="005321C7" w:rsidRPr="001B05A5" w14:paraId="369B43C2" w14:textId="77777777" w:rsidTr="005321C7">
        <w:trPr>
          <w:jc w:val="center"/>
        </w:trPr>
        <w:tc>
          <w:tcPr>
            <w:tcW w:w="2241" w:type="dxa"/>
            <w:vAlign w:val="center"/>
          </w:tcPr>
          <w:p w14:paraId="335A915D" w14:textId="77777777" w:rsidR="005321C7" w:rsidRDefault="005321C7" w:rsidP="007A5AEB">
            <w:pPr>
              <w:spacing w:after="0"/>
              <w:jc w:val="left"/>
              <w:rPr>
                <w:sz w:val="18"/>
                <w:szCs w:val="18"/>
              </w:rPr>
            </w:pPr>
            <w:r>
              <w:rPr>
                <w:sz w:val="18"/>
                <w:szCs w:val="18"/>
              </w:rPr>
              <w:t>Personal Computers*</w:t>
            </w:r>
          </w:p>
        </w:tc>
        <w:tc>
          <w:tcPr>
            <w:tcW w:w="3150" w:type="dxa"/>
            <w:vAlign w:val="center"/>
          </w:tcPr>
          <w:p w14:paraId="34876551" w14:textId="77777777" w:rsidR="005321C7" w:rsidRDefault="005321C7" w:rsidP="007A5AEB">
            <w:pPr>
              <w:spacing w:after="0"/>
              <w:jc w:val="center"/>
              <w:rPr>
                <w:sz w:val="18"/>
                <w:szCs w:val="18"/>
              </w:rPr>
            </w:pPr>
            <w:r>
              <w:rPr>
                <w:sz w:val="18"/>
                <w:szCs w:val="18"/>
              </w:rPr>
              <w:t>45,688</w:t>
            </w:r>
          </w:p>
        </w:tc>
        <w:tc>
          <w:tcPr>
            <w:tcW w:w="3150" w:type="dxa"/>
            <w:vAlign w:val="center"/>
          </w:tcPr>
          <w:p w14:paraId="4946A7AC" w14:textId="77777777" w:rsidR="005321C7" w:rsidRDefault="005321C7" w:rsidP="007A5AEB">
            <w:pPr>
              <w:spacing w:after="0"/>
              <w:jc w:val="center"/>
              <w:rPr>
                <w:sz w:val="18"/>
                <w:szCs w:val="18"/>
              </w:rPr>
            </w:pPr>
            <w:r>
              <w:rPr>
                <w:sz w:val="18"/>
                <w:szCs w:val="18"/>
              </w:rPr>
              <w:t>55%</w:t>
            </w:r>
          </w:p>
        </w:tc>
      </w:tr>
      <w:tr w:rsidR="005321C7" w:rsidRPr="001B05A5" w14:paraId="6ED63A30" w14:textId="77777777" w:rsidTr="005321C7">
        <w:trPr>
          <w:jc w:val="center"/>
        </w:trPr>
        <w:tc>
          <w:tcPr>
            <w:tcW w:w="2241" w:type="dxa"/>
            <w:vAlign w:val="center"/>
          </w:tcPr>
          <w:p w14:paraId="7D832DE2" w14:textId="77777777" w:rsidR="005321C7" w:rsidRPr="00061206" w:rsidRDefault="005321C7" w:rsidP="007A5AEB">
            <w:pPr>
              <w:spacing w:after="0"/>
              <w:jc w:val="right"/>
              <w:rPr>
                <w:i/>
                <w:sz w:val="18"/>
                <w:szCs w:val="18"/>
              </w:rPr>
            </w:pPr>
            <w:r w:rsidRPr="00061206">
              <w:rPr>
                <w:i/>
                <w:sz w:val="18"/>
                <w:szCs w:val="18"/>
              </w:rPr>
              <w:t>Desk</w:t>
            </w:r>
            <w:r>
              <w:rPr>
                <w:i/>
                <w:sz w:val="18"/>
                <w:szCs w:val="18"/>
              </w:rPr>
              <w:t>tops</w:t>
            </w:r>
          </w:p>
        </w:tc>
        <w:tc>
          <w:tcPr>
            <w:tcW w:w="3150" w:type="dxa"/>
            <w:vAlign w:val="center"/>
          </w:tcPr>
          <w:p w14:paraId="2C843116" w14:textId="77777777" w:rsidR="005321C7" w:rsidRPr="00061206" w:rsidRDefault="005321C7" w:rsidP="007A5AEB">
            <w:pPr>
              <w:spacing w:after="0"/>
              <w:jc w:val="center"/>
              <w:rPr>
                <w:i/>
                <w:sz w:val="18"/>
                <w:szCs w:val="18"/>
              </w:rPr>
            </w:pPr>
            <w:r w:rsidRPr="00061206">
              <w:rPr>
                <w:i/>
                <w:sz w:val="18"/>
                <w:szCs w:val="18"/>
              </w:rPr>
              <w:t>8,248</w:t>
            </w:r>
          </w:p>
        </w:tc>
        <w:tc>
          <w:tcPr>
            <w:tcW w:w="3150" w:type="dxa"/>
            <w:vAlign w:val="center"/>
          </w:tcPr>
          <w:p w14:paraId="665BE7BD" w14:textId="77777777" w:rsidR="005321C7" w:rsidRPr="00061206" w:rsidRDefault="005321C7" w:rsidP="007A5AEB">
            <w:pPr>
              <w:spacing w:after="0"/>
              <w:jc w:val="center"/>
              <w:rPr>
                <w:i/>
                <w:sz w:val="18"/>
                <w:szCs w:val="18"/>
              </w:rPr>
            </w:pPr>
            <w:r w:rsidRPr="00061206">
              <w:rPr>
                <w:i/>
                <w:sz w:val="18"/>
                <w:szCs w:val="18"/>
              </w:rPr>
              <w:t>25%</w:t>
            </w:r>
          </w:p>
        </w:tc>
      </w:tr>
      <w:tr w:rsidR="005321C7" w:rsidRPr="001B05A5" w14:paraId="5BBDEBEF" w14:textId="77777777" w:rsidTr="005321C7">
        <w:trPr>
          <w:jc w:val="center"/>
        </w:trPr>
        <w:tc>
          <w:tcPr>
            <w:tcW w:w="2241" w:type="dxa"/>
            <w:vAlign w:val="center"/>
          </w:tcPr>
          <w:p w14:paraId="2B833F4C" w14:textId="77777777" w:rsidR="005321C7" w:rsidRPr="00061206" w:rsidRDefault="005321C7" w:rsidP="007A5AEB">
            <w:pPr>
              <w:spacing w:after="0"/>
              <w:jc w:val="right"/>
              <w:rPr>
                <w:i/>
                <w:sz w:val="18"/>
                <w:szCs w:val="18"/>
              </w:rPr>
            </w:pPr>
            <w:r w:rsidRPr="00061206">
              <w:rPr>
                <w:i/>
                <w:sz w:val="18"/>
                <w:szCs w:val="18"/>
              </w:rPr>
              <w:t>Laptop</w:t>
            </w:r>
            <w:r>
              <w:rPr>
                <w:i/>
                <w:sz w:val="18"/>
                <w:szCs w:val="18"/>
              </w:rPr>
              <w:t>s</w:t>
            </w:r>
            <w:r w:rsidRPr="00061206">
              <w:rPr>
                <w:i/>
                <w:sz w:val="18"/>
                <w:szCs w:val="18"/>
              </w:rPr>
              <w:t xml:space="preserve"> </w:t>
            </w:r>
            <w:r>
              <w:rPr>
                <w:i/>
                <w:sz w:val="18"/>
                <w:szCs w:val="18"/>
              </w:rPr>
              <w:t>(and tablet)</w:t>
            </w:r>
          </w:p>
        </w:tc>
        <w:tc>
          <w:tcPr>
            <w:tcW w:w="3150" w:type="dxa"/>
            <w:vAlign w:val="center"/>
          </w:tcPr>
          <w:p w14:paraId="652003D3" w14:textId="77777777" w:rsidR="005321C7" w:rsidRPr="00061206" w:rsidRDefault="005321C7" w:rsidP="007A5AEB">
            <w:pPr>
              <w:spacing w:after="0"/>
              <w:jc w:val="center"/>
              <w:rPr>
                <w:i/>
                <w:sz w:val="18"/>
                <w:szCs w:val="18"/>
              </w:rPr>
            </w:pPr>
            <w:r w:rsidRPr="00061206">
              <w:rPr>
                <w:i/>
                <w:sz w:val="18"/>
                <w:szCs w:val="18"/>
              </w:rPr>
              <w:t>36,158</w:t>
            </w:r>
          </w:p>
        </w:tc>
        <w:tc>
          <w:tcPr>
            <w:tcW w:w="3150" w:type="dxa"/>
            <w:vAlign w:val="center"/>
          </w:tcPr>
          <w:p w14:paraId="183F9EDB" w14:textId="77777777" w:rsidR="005321C7" w:rsidRPr="00061206" w:rsidRDefault="005321C7" w:rsidP="007A5AEB">
            <w:pPr>
              <w:spacing w:after="0"/>
              <w:jc w:val="center"/>
              <w:rPr>
                <w:i/>
                <w:sz w:val="18"/>
                <w:szCs w:val="18"/>
              </w:rPr>
            </w:pPr>
            <w:r w:rsidRPr="00061206">
              <w:rPr>
                <w:i/>
                <w:sz w:val="18"/>
                <w:szCs w:val="18"/>
              </w:rPr>
              <w:t>74%</w:t>
            </w:r>
          </w:p>
        </w:tc>
      </w:tr>
    </w:tbl>
    <w:p w14:paraId="20110864" w14:textId="77777777" w:rsidR="00AB6820" w:rsidRPr="00F537F1" w:rsidRDefault="00AB6820" w:rsidP="00F537F1">
      <w:pPr>
        <w:spacing w:after="40" w:line="240" w:lineRule="auto"/>
        <w:ind w:left="360" w:right="360"/>
        <w:rPr>
          <w:sz w:val="20"/>
          <w:szCs w:val="20"/>
        </w:rPr>
      </w:pPr>
      <w:r w:rsidRPr="00F537F1">
        <w:rPr>
          <w:i/>
          <w:sz w:val="20"/>
          <w:szCs w:val="20"/>
        </w:rPr>
        <w:t>Source:</w:t>
      </w:r>
      <w:r w:rsidRPr="00F537F1">
        <w:rPr>
          <w:sz w:val="20"/>
          <w:szCs w:val="20"/>
        </w:rPr>
        <w:t xml:space="preserve"> ENERGY STAR. “ENERGY STAR Unit Shipment and Market Penetration Report: Calendar Year 2013 Summary.”</w:t>
      </w:r>
    </w:p>
    <w:p w14:paraId="487BB2A1" w14:textId="77777777" w:rsidR="00296673" w:rsidRPr="00F537F1" w:rsidRDefault="00296673" w:rsidP="00F537F1">
      <w:pPr>
        <w:spacing w:after="40" w:line="240" w:lineRule="auto"/>
        <w:ind w:left="360" w:right="360"/>
        <w:rPr>
          <w:sz w:val="20"/>
          <w:szCs w:val="20"/>
        </w:rPr>
      </w:pPr>
      <w:r w:rsidRPr="00F537F1">
        <w:rPr>
          <w:i/>
          <w:sz w:val="20"/>
          <w:szCs w:val="20"/>
        </w:rPr>
        <w:t>Note</w:t>
      </w:r>
      <w:r w:rsidRPr="00F537F1">
        <w:rPr>
          <w:sz w:val="20"/>
          <w:szCs w:val="20"/>
        </w:rPr>
        <w:t xml:space="preserve">: ENERGY STAR market penetration data do not include network equipment. </w:t>
      </w:r>
      <w:r w:rsidR="006D5386" w:rsidRPr="00F537F1">
        <w:rPr>
          <w:sz w:val="20"/>
          <w:szCs w:val="20"/>
        </w:rPr>
        <w:t xml:space="preserve">Additionally, </w:t>
      </w:r>
      <w:r w:rsidRPr="00F537F1">
        <w:rPr>
          <w:sz w:val="20"/>
          <w:szCs w:val="20"/>
        </w:rPr>
        <w:t>ENERGY STAR does not label game consoles.</w:t>
      </w:r>
    </w:p>
    <w:p w14:paraId="4C809D35" w14:textId="77777777" w:rsidR="00E90EB4" w:rsidRPr="00F537F1" w:rsidRDefault="005321C7" w:rsidP="00F537F1">
      <w:pPr>
        <w:spacing w:line="240" w:lineRule="auto"/>
        <w:ind w:left="360" w:right="360"/>
        <w:rPr>
          <w:rFonts w:ascii="Arial" w:eastAsiaTheme="majorEastAsia" w:hAnsi="Arial" w:cstheme="majorBidi"/>
          <w:b/>
          <w:bCs/>
          <w:sz w:val="20"/>
          <w:szCs w:val="20"/>
        </w:rPr>
      </w:pPr>
      <w:r w:rsidRPr="00F537F1">
        <w:rPr>
          <w:sz w:val="20"/>
          <w:szCs w:val="20"/>
        </w:rPr>
        <w:t>* ENERGY STAR’s PC category includes desktop PCs, laptop PCs, tablets, small-scale servers, thin clients, and workstations.</w:t>
      </w:r>
    </w:p>
    <w:p w14:paraId="7D1BE878" w14:textId="77777777" w:rsidR="00A06D70" w:rsidRDefault="00A06D70" w:rsidP="00456C92">
      <w:pPr>
        <w:pStyle w:val="Heading2"/>
      </w:pPr>
      <w:bookmarkStart w:id="67" w:name="_Ref399069010"/>
      <w:bookmarkStart w:id="68" w:name="_Toc401667853"/>
      <w:r>
        <w:lastRenderedPageBreak/>
        <w:t>Product</w:t>
      </w:r>
      <w:r w:rsidR="00C95E20">
        <w:t>-</w:t>
      </w:r>
      <w:r>
        <w:t>Specific Considerations</w:t>
      </w:r>
      <w:bookmarkEnd w:id="67"/>
      <w:bookmarkEnd w:id="68"/>
    </w:p>
    <w:p w14:paraId="32B24B37" w14:textId="77777777" w:rsidR="00A06D70" w:rsidRDefault="00A06D70" w:rsidP="00456C92">
      <w:r>
        <w:t xml:space="preserve">In addition to </w:t>
      </w:r>
      <w:r w:rsidR="003E0018">
        <w:t>taking</w:t>
      </w:r>
      <w:r>
        <w:t xml:space="preserve"> ENERGY STAR</w:t>
      </w:r>
      <w:r w:rsidR="003E0018">
        <w:t xml:space="preserve"> </w:t>
      </w:r>
      <w:r w:rsidR="00C05291">
        <w:t xml:space="preserve">market </w:t>
      </w:r>
      <w:r w:rsidR="003E0018">
        <w:t>penetration into account</w:t>
      </w:r>
      <w:r>
        <w:t xml:space="preserve">, the team recommends that the Companies </w:t>
      </w:r>
      <w:r w:rsidR="003E0018">
        <w:t xml:space="preserve">consider </w:t>
      </w:r>
      <w:r>
        <w:t xml:space="preserve">other market dynamics related to </w:t>
      </w:r>
      <w:r w:rsidR="003E0018">
        <w:t>the product categories investigated in this report</w:t>
      </w:r>
      <w:r>
        <w:t xml:space="preserve">. During its 2012 study for Massachusetts Program Administrators, NMR discovered </w:t>
      </w:r>
      <w:r w:rsidR="00EE389F">
        <w:t>a number</w:t>
      </w:r>
      <w:r>
        <w:t xml:space="preserve"> </w:t>
      </w:r>
      <w:r w:rsidR="00296673">
        <w:t xml:space="preserve">of </w:t>
      </w:r>
      <w:r>
        <w:t>market opportunities and barriers</w:t>
      </w:r>
      <w:r w:rsidR="00427FF1">
        <w:t xml:space="preserve"> </w:t>
      </w:r>
      <w:r w:rsidR="00EE389F">
        <w:t xml:space="preserve">for specific product categories </w:t>
      </w:r>
      <w:r w:rsidR="001222AA">
        <w:t xml:space="preserve">that are </w:t>
      </w:r>
      <w:r w:rsidR="00EE389F">
        <w:t xml:space="preserve">relevant </w:t>
      </w:r>
      <w:r w:rsidR="001222AA">
        <w:t>to</w:t>
      </w:r>
      <w:r w:rsidR="00EE389F">
        <w:t xml:space="preserve"> program design and planning. The bullets below describe some of the key findings</w:t>
      </w:r>
      <w:r w:rsidR="001222AA">
        <w:t>.</w:t>
      </w:r>
      <w:r w:rsidR="009F08A9">
        <w:rPr>
          <w:rStyle w:val="FootnoteReference"/>
        </w:rPr>
        <w:footnoteReference w:id="26"/>
      </w:r>
    </w:p>
    <w:p w14:paraId="7CFC4E20" w14:textId="77777777" w:rsidR="009C3541" w:rsidRPr="008B66DA" w:rsidRDefault="009C3541" w:rsidP="00456C92">
      <w:pPr>
        <w:pStyle w:val="ListParagraph"/>
        <w:numPr>
          <w:ilvl w:val="0"/>
          <w:numId w:val="29"/>
        </w:numPr>
        <w:rPr>
          <w:b/>
        </w:rPr>
      </w:pPr>
      <w:r w:rsidRPr="008B66DA">
        <w:rPr>
          <w:b/>
        </w:rPr>
        <w:t>Televisions</w:t>
      </w:r>
    </w:p>
    <w:p w14:paraId="764E16F6" w14:textId="77777777" w:rsidR="00427FF1" w:rsidRPr="00427FF1" w:rsidRDefault="00D27CDB" w:rsidP="00456C92">
      <w:pPr>
        <w:pStyle w:val="ListParagraph"/>
        <w:numPr>
          <w:ilvl w:val="1"/>
          <w:numId w:val="29"/>
        </w:numPr>
      </w:pPr>
      <w:r>
        <w:t xml:space="preserve">Most </w:t>
      </w:r>
      <w:r w:rsidR="009C3541" w:rsidRPr="00427FF1">
        <w:t>market actors</w:t>
      </w:r>
      <w:r>
        <w:t xml:space="preserve"> view energy efficiency as a low priority relative to their</w:t>
      </w:r>
      <w:r w:rsidR="009C3541" w:rsidRPr="00427FF1">
        <w:t xml:space="preserve"> usage</w:t>
      </w:r>
      <w:r>
        <w:t xml:space="preserve"> </w:t>
      </w:r>
      <w:r w:rsidR="001222AA">
        <w:t>and</w:t>
      </w:r>
      <w:r w:rsidR="009C3541" w:rsidRPr="00427FF1">
        <w:t xml:space="preserve"> purchasing patterns, promotion tec</w:t>
      </w:r>
      <w:r>
        <w:t>hniques, and design approaches.</w:t>
      </w:r>
      <w:r w:rsidR="00FF1EB4">
        <w:t xml:space="preserve"> </w:t>
      </w:r>
      <w:r w:rsidR="001222AA">
        <w:t>For example, c</w:t>
      </w:r>
      <w:r w:rsidR="00FF1EB4">
        <w:t xml:space="preserve">ustomers are increasingly opting for </w:t>
      </w:r>
      <w:r w:rsidR="001222AA">
        <w:t xml:space="preserve">TVs that are </w:t>
      </w:r>
      <w:r w:rsidR="00FF1EB4">
        <w:t xml:space="preserve">larger and </w:t>
      </w:r>
      <w:r w:rsidR="001222AA">
        <w:t>have</w:t>
      </w:r>
      <w:r w:rsidR="00FF1EB4">
        <w:t xml:space="preserve"> advanced features (such as ultra-high definition)</w:t>
      </w:r>
      <w:r w:rsidR="00C0496C">
        <w:t xml:space="preserve">, </w:t>
      </w:r>
      <w:r w:rsidR="00FF1EB4">
        <w:t>both of which contribute to increased energy consumption.</w:t>
      </w:r>
      <w:r>
        <w:t xml:space="preserve"> These dynamics </w:t>
      </w:r>
      <w:r w:rsidR="003E0018">
        <w:t>could</w:t>
      </w:r>
      <w:r>
        <w:t xml:space="preserve"> </w:t>
      </w:r>
      <w:r w:rsidR="00296673">
        <w:t>result in</w:t>
      </w:r>
      <w:r>
        <w:t xml:space="preserve"> a market barrier </w:t>
      </w:r>
      <w:r w:rsidR="00296673">
        <w:t xml:space="preserve">for programs to focus on addressing </w:t>
      </w:r>
      <w:r>
        <w:t>through program activities</w:t>
      </w:r>
      <w:r w:rsidR="00296673">
        <w:t>. H</w:t>
      </w:r>
      <w:r>
        <w:t xml:space="preserve">owever, programs should be aware that these dynamics </w:t>
      </w:r>
      <w:r w:rsidR="003E0018">
        <w:t xml:space="preserve">can also </w:t>
      </w:r>
      <w:r>
        <w:t xml:space="preserve">present a </w:t>
      </w:r>
      <w:r w:rsidR="003E0018">
        <w:t xml:space="preserve">challenge for successful </w:t>
      </w:r>
      <w:r>
        <w:t xml:space="preserve">program </w:t>
      </w:r>
      <w:r w:rsidR="003E0018">
        <w:t>implementation</w:t>
      </w:r>
      <w:r>
        <w:t>.</w:t>
      </w:r>
    </w:p>
    <w:p w14:paraId="2CD3C697" w14:textId="77777777" w:rsidR="009C3541" w:rsidRDefault="00EE389F" w:rsidP="00456C92">
      <w:pPr>
        <w:pStyle w:val="ListParagraph"/>
        <w:numPr>
          <w:ilvl w:val="1"/>
          <w:numId w:val="29"/>
        </w:numPr>
      </w:pPr>
      <w:r>
        <w:t>Due to rapid market changes</w:t>
      </w:r>
      <w:r w:rsidR="00FB3DDC">
        <w:t xml:space="preserve"> and the plethora of extraneous devices</w:t>
      </w:r>
      <w:r w:rsidR="003E0018">
        <w:t>, such as STBs</w:t>
      </w:r>
      <w:r>
        <w:t>, estimates for TV</w:t>
      </w:r>
      <w:r w:rsidR="003E0018">
        <w:t>-specific</w:t>
      </w:r>
      <w:r>
        <w:t xml:space="preserve"> savings may not be reliable. Programs might consider </w:t>
      </w:r>
      <w:r w:rsidR="003E0018">
        <w:t xml:space="preserve">that </w:t>
      </w:r>
      <w:r w:rsidR="00C0496C">
        <w:t xml:space="preserve">such </w:t>
      </w:r>
      <w:r w:rsidR="00296673">
        <w:t>factors can</w:t>
      </w:r>
      <w:r w:rsidR="003E0018">
        <w:t xml:space="preserve"> present barrier</w:t>
      </w:r>
      <w:r w:rsidR="00296673">
        <w:t>s</w:t>
      </w:r>
      <w:r w:rsidR="003E0018">
        <w:t xml:space="preserve"> to accurately </w:t>
      </w:r>
      <w:r>
        <w:t>claim</w:t>
      </w:r>
      <w:r w:rsidR="003E0018">
        <w:t>ing program</w:t>
      </w:r>
      <w:r>
        <w:t xml:space="preserve"> savings</w:t>
      </w:r>
      <w:r w:rsidR="003E0018">
        <w:t>.</w:t>
      </w:r>
    </w:p>
    <w:p w14:paraId="537665FF" w14:textId="450E31F3" w:rsidR="00EE389F" w:rsidRDefault="005749C5" w:rsidP="00456C92">
      <w:pPr>
        <w:pStyle w:val="ListParagraph"/>
        <w:numPr>
          <w:ilvl w:val="1"/>
          <w:numId w:val="29"/>
        </w:numPr>
      </w:pPr>
      <w:r>
        <w:t xml:space="preserve">One study in the Northwest, described in NMR’s 2012 </w:t>
      </w:r>
      <w:r w:rsidR="00CA243F">
        <w:t xml:space="preserve">Massachusetts </w:t>
      </w:r>
      <w:r>
        <w:t>report, showed that r</w:t>
      </w:r>
      <w:r w:rsidR="00EE389F">
        <w:t>etailers are s</w:t>
      </w:r>
      <w:r w:rsidR="003E0018">
        <w:t>tocking energy-efficient models</w:t>
      </w:r>
      <w:r w:rsidR="00E1485E">
        <w:t xml:space="preserve"> more and more</w:t>
      </w:r>
      <w:r w:rsidR="003E0018">
        <w:t xml:space="preserve">. This makes </w:t>
      </w:r>
      <w:r w:rsidR="00EE389F">
        <w:t>products available</w:t>
      </w:r>
      <w:r w:rsidR="003E0018">
        <w:t>,</w:t>
      </w:r>
      <w:r w:rsidR="00EE389F">
        <w:t xml:space="preserve"> but also limit</w:t>
      </w:r>
      <w:r w:rsidR="003E0018">
        <w:t>s</w:t>
      </w:r>
      <w:r w:rsidR="00EE389F">
        <w:t xml:space="preserve"> the </w:t>
      </w:r>
      <w:r w:rsidR="003E0018">
        <w:t>need</w:t>
      </w:r>
      <w:r w:rsidR="00EE389F">
        <w:t xml:space="preserve"> </w:t>
      </w:r>
      <w:r w:rsidR="003E0018">
        <w:t>for programs to</w:t>
      </w:r>
      <w:r w:rsidR="00296673">
        <w:t xml:space="preserve"> offer mid</w:t>
      </w:r>
      <w:r w:rsidR="00EE389F">
        <w:t>stream incentives.</w:t>
      </w:r>
    </w:p>
    <w:p w14:paraId="0033CAFF" w14:textId="77777777" w:rsidR="00EE389F" w:rsidRDefault="00EE389F" w:rsidP="00456C92">
      <w:pPr>
        <w:pStyle w:val="ListParagraph"/>
        <w:numPr>
          <w:ilvl w:val="1"/>
          <w:numId w:val="29"/>
        </w:numPr>
      </w:pPr>
      <w:r>
        <w:t>State-level TV regulations are becoming more rigorous, specifically in Massachusetts, New York, Washington, and Wisconsin</w:t>
      </w:r>
      <w:r w:rsidR="00C05291">
        <w:t xml:space="preserve"> (in fact, as shown in this literature review, Connecticut has its own regulations as well—see Section </w:t>
      </w:r>
      <w:r w:rsidR="00C05291">
        <w:fldChar w:fldCharType="begin"/>
      </w:r>
      <w:r w:rsidR="00C05291">
        <w:instrText xml:space="preserve"> REF _Ref396908908 \r \h </w:instrText>
      </w:r>
      <w:r w:rsidR="00C05291">
        <w:fldChar w:fldCharType="separate"/>
      </w:r>
      <w:r w:rsidR="00302A02">
        <w:t>2.3</w:t>
      </w:r>
      <w:r w:rsidR="00C05291">
        <w:fldChar w:fldCharType="end"/>
      </w:r>
      <w:r w:rsidR="00C05291">
        <w:t>)</w:t>
      </w:r>
      <w:r>
        <w:t xml:space="preserve">. </w:t>
      </w:r>
      <w:r w:rsidR="009F08A9">
        <w:t>As a result,</w:t>
      </w:r>
      <w:r>
        <w:t xml:space="preserve"> manufacturers may be producing fewer inefficient models</w:t>
      </w:r>
      <w:r w:rsidR="009F08A9">
        <w:t xml:space="preserve"> </w:t>
      </w:r>
      <w:r w:rsidR="00C0496C">
        <w:t xml:space="preserve">due to fewer </w:t>
      </w:r>
      <w:r w:rsidR="00296673">
        <w:t>locations where they can sell inefficient models</w:t>
      </w:r>
      <w:r w:rsidR="009F08A9">
        <w:t>. Fewer inefficient models on the market will increase opportunities for free ridership</w:t>
      </w:r>
      <w:r w:rsidR="00296673">
        <w:t xml:space="preserve"> and limit program savings impact</w:t>
      </w:r>
      <w:r>
        <w:t>.</w:t>
      </w:r>
    </w:p>
    <w:p w14:paraId="5DFF4691" w14:textId="50A62CE7" w:rsidR="003E0018" w:rsidRPr="00427FF1" w:rsidRDefault="004D79A1" w:rsidP="00CA243F">
      <w:pPr>
        <w:pStyle w:val="ListParagraph"/>
        <w:numPr>
          <w:ilvl w:val="1"/>
          <w:numId w:val="29"/>
        </w:numPr>
      </w:pPr>
      <w:r>
        <w:t>Despite upcoming advances in TVs’ energy efficiency specifications, researchers and market actors projected that</w:t>
      </w:r>
      <w:r w:rsidR="003E0018">
        <w:t xml:space="preserve"> energy efficiency levels </w:t>
      </w:r>
      <w:r w:rsidR="00E213FD">
        <w:t xml:space="preserve">will </w:t>
      </w:r>
      <w:r w:rsidR="003E0018" w:rsidRPr="00427FF1">
        <w:t xml:space="preserve">not </w:t>
      </w:r>
      <w:r w:rsidR="003E0018">
        <w:t>dramatically increase</w:t>
      </w:r>
      <w:r>
        <w:t xml:space="preserve"> in coming years. They explained that technical advances that could achieve notable savings, especially with the increasing popularity of advanced features, would require extensive cost and time that manufacturers may not be willing to expend</w:t>
      </w:r>
      <w:r w:rsidR="003E0018">
        <w:t>; as such, addressing TVs may not represent substantial savings.</w:t>
      </w:r>
    </w:p>
    <w:p w14:paraId="25430FC8" w14:textId="77777777" w:rsidR="00427FF1" w:rsidRPr="008B66DA" w:rsidRDefault="009C3541" w:rsidP="00456C92">
      <w:pPr>
        <w:pStyle w:val="ListParagraph"/>
        <w:numPr>
          <w:ilvl w:val="0"/>
          <w:numId w:val="29"/>
        </w:numPr>
        <w:rPr>
          <w:b/>
        </w:rPr>
      </w:pPr>
      <w:r w:rsidRPr="008B66DA">
        <w:rPr>
          <w:b/>
        </w:rPr>
        <w:t>Set-Top Boxes</w:t>
      </w:r>
    </w:p>
    <w:p w14:paraId="18C12B20" w14:textId="77777777" w:rsidR="00427FF1" w:rsidRDefault="00587B6B" w:rsidP="00456C92">
      <w:pPr>
        <w:pStyle w:val="ListParagraph"/>
        <w:numPr>
          <w:ilvl w:val="1"/>
          <w:numId w:val="29"/>
        </w:numPr>
      </w:pPr>
      <w:r w:rsidRPr="00427FF1">
        <w:lastRenderedPageBreak/>
        <w:t xml:space="preserve">STB efficiency cannot be addressed through increasing efficiency of </w:t>
      </w:r>
      <w:r w:rsidR="00296673">
        <w:t xml:space="preserve">the </w:t>
      </w:r>
      <w:r w:rsidRPr="00427FF1">
        <w:t>device</w:t>
      </w:r>
      <w:r w:rsidR="00296673">
        <w:t>s</w:t>
      </w:r>
      <w:r w:rsidRPr="00427FF1">
        <w:t xml:space="preserve"> alone</w:t>
      </w:r>
      <w:r>
        <w:t xml:space="preserve"> because m</w:t>
      </w:r>
      <w:r w:rsidR="008B66DA">
        <w:t xml:space="preserve">edia service providers can offset </w:t>
      </w:r>
      <w:r w:rsidR="009F08A9">
        <w:t>the</w:t>
      </w:r>
      <w:r w:rsidR="008B66DA">
        <w:t xml:space="preserve"> efficiency </w:t>
      </w:r>
      <w:r w:rsidR="009F08A9">
        <w:t xml:space="preserve">of an STB unit </w:t>
      </w:r>
      <w:r w:rsidR="008B66DA">
        <w:t xml:space="preserve">through increases in consumption </w:t>
      </w:r>
      <w:r w:rsidR="00296673">
        <w:t xml:space="preserve">that are </w:t>
      </w:r>
      <w:r w:rsidR="008B66DA">
        <w:t xml:space="preserve">enabled through software updates. </w:t>
      </w:r>
    </w:p>
    <w:p w14:paraId="45A01855" w14:textId="6B7D45A3" w:rsidR="00587B6B" w:rsidRDefault="00587B6B" w:rsidP="00456C92">
      <w:pPr>
        <w:pStyle w:val="ListParagraph"/>
        <w:numPr>
          <w:ilvl w:val="1"/>
          <w:numId w:val="29"/>
        </w:numPr>
      </w:pPr>
      <w:r>
        <w:t>The Set-top Box Energy Conservation Agreement attempts to ensure that 90% of deployed/purchased units meet ENERGY STAR V3.0 specifications, meaning that addressing ENERGY STAR V3.0 may be irrelevant (</w:t>
      </w:r>
      <w:r w:rsidR="00C05291">
        <w:t xml:space="preserve">also discussed in this literature review—see </w:t>
      </w:r>
      <w:r>
        <w:t xml:space="preserve">Section </w:t>
      </w:r>
      <w:r>
        <w:fldChar w:fldCharType="begin"/>
      </w:r>
      <w:r>
        <w:instrText xml:space="preserve"> REF _Ref396908908 \r \h </w:instrText>
      </w:r>
      <w:r>
        <w:fldChar w:fldCharType="separate"/>
      </w:r>
      <w:r w:rsidR="00302A02">
        <w:t>2.3</w:t>
      </w:r>
      <w:r>
        <w:fldChar w:fldCharType="end"/>
      </w:r>
      <w:r>
        <w:t xml:space="preserve">). </w:t>
      </w:r>
      <w:r w:rsidR="008053E8">
        <w:t>Therefore, the installed base of STBs will have increasingly higher levels of efficiency</w:t>
      </w:r>
      <w:r w:rsidR="00C0496C">
        <w:t>.</w:t>
      </w:r>
      <w:r w:rsidR="008053E8">
        <w:t xml:space="preserve"> </w:t>
      </w:r>
      <w:r w:rsidR="00C0496C">
        <w:t>A</w:t>
      </w:r>
      <w:r w:rsidR="008053E8">
        <w:t xml:space="preserve">s a result, </w:t>
      </w:r>
      <w:r w:rsidR="00E1485E">
        <w:t xml:space="preserve">even if program efforts leverage ENERGY STAR V4.0, </w:t>
      </w:r>
      <w:r w:rsidR="008053E8">
        <w:t xml:space="preserve">program claimable savings will not be as high as </w:t>
      </w:r>
      <w:r w:rsidR="00296673">
        <w:t>they</w:t>
      </w:r>
      <w:r w:rsidR="008053E8">
        <w:t xml:space="preserve"> may have </w:t>
      </w:r>
      <w:r w:rsidR="00456C92">
        <w:t>been</w:t>
      </w:r>
      <w:r w:rsidR="008053E8">
        <w:t xml:space="preserve"> prior to the development of the agreement.</w:t>
      </w:r>
    </w:p>
    <w:p w14:paraId="29D24714" w14:textId="77777777" w:rsidR="008B66DA" w:rsidRDefault="008B66DA" w:rsidP="00456C92">
      <w:pPr>
        <w:pStyle w:val="ListParagraph"/>
        <w:numPr>
          <w:ilvl w:val="1"/>
          <w:numId w:val="29"/>
        </w:numPr>
      </w:pPr>
      <w:r>
        <w:t xml:space="preserve">Customers may not have control over the STB unit they purchase or use because </w:t>
      </w:r>
      <w:r w:rsidR="00456C92">
        <w:t>the units</w:t>
      </w:r>
      <w:r>
        <w:t xml:space="preserve"> are often provided by</w:t>
      </w:r>
      <w:r w:rsidR="00296673">
        <w:t xml:space="preserve"> the </w:t>
      </w:r>
      <w:r w:rsidR="005F724F">
        <w:t>customers’</w:t>
      </w:r>
      <w:r>
        <w:t xml:space="preserve"> media service providers. </w:t>
      </w:r>
      <w:r w:rsidR="00C0496C">
        <w:t>Thus</w:t>
      </w:r>
      <w:r>
        <w:t xml:space="preserve">, incentives </w:t>
      </w:r>
      <w:r w:rsidR="005F724F">
        <w:t>directed at end-users may result in low participation rates</w:t>
      </w:r>
      <w:r>
        <w:t>.</w:t>
      </w:r>
    </w:p>
    <w:p w14:paraId="02FD87B6" w14:textId="77777777" w:rsidR="008B66DA" w:rsidRDefault="008B66DA" w:rsidP="00456C92">
      <w:pPr>
        <w:pStyle w:val="ListParagraph"/>
        <w:numPr>
          <w:ilvl w:val="1"/>
          <w:numId w:val="29"/>
        </w:numPr>
      </w:pPr>
      <w:r w:rsidRPr="008B66DA">
        <w:t xml:space="preserve">Customers may not take advantage of </w:t>
      </w:r>
      <w:r w:rsidR="00D30F95">
        <w:t xml:space="preserve">available </w:t>
      </w:r>
      <w:r w:rsidRPr="008B66DA">
        <w:t xml:space="preserve">energy efficiency features even if the media service provider </w:t>
      </w:r>
      <w:r>
        <w:t xml:space="preserve">or </w:t>
      </w:r>
      <w:r w:rsidR="005F724F">
        <w:t xml:space="preserve">manufacturer sets energy saving </w:t>
      </w:r>
      <w:r w:rsidR="00876A2C">
        <w:t xml:space="preserve">settings as </w:t>
      </w:r>
      <w:r>
        <w:t>defaults</w:t>
      </w:r>
      <w:r w:rsidR="00876A2C">
        <w:t xml:space="preserve"> (</w:t>
      </w:r>
      <w:r w:rsidR="00D30F95">
        <w:t>e.g., customers may</w:t>
      </w:r>
      <w:r w:rsidR="00876A2C">
        <w:t xml:space="preserve"> select higher</w:t>
      </w:r>
      <w:r w:rsidR="00D30F95">
        <w:t>-</w:t>
      </w:r>
      <w:r w:rsidR="00876A2C">
        <w:t>consuming settings)</w:t>
      </w:r>
      <w:r w:rsidR="005F724F">
        <w:t>.</w:t>
      </w:r>
      <w:r>
        <w:t xml:space="preserve"> </w:t>
      </w:r>
      <w:r w:rsidR="005F724F">
        <w:t>It is difficult f</w:t>
      </w:r>
      <w:r w:rsidR="00876A2C">
        <w:t xml:space="preserve">or </w:t>
      </w:r>
      <w:r w:rsidR="00C05291">
        <w:t xml:space="preserve">efficiency </w:t>
      </w:r>
      <w:r w:rsidR="00876A2C">
        <w:t xml:space="preserve">programs to monitor behaviors </w:t>
      </w:r>
      <w:r w:rsidR="005F724F">
        <w:t>like these</w:t>
      </w:r>
      <w:r w:rsidR="00D30F95">
        <w:t>, which makes it difficult to</w:t>
      </w:r>
      <w:r w:rsidR="005F724F">
        <w:t xml:space="preserve"> </w:t>
      </w:r>
      <w:r w:rsidR="00296673">
        <w:t xml:space="preserve">reliably </w:t>
      </w:r>
      <w:r w:rsidR="005F724F">
        <w:t>determine the savings resulting from program efforts.</w:t>
      </w:r>
    </w:p>
    <w:p w14:paraId="534C027E" w14:textId="77777777" w:rsidR="008B66DA" w:rsidRDefault="00876A2C" w:rsidP="00E71F36">
      <w:pPr>
        <w:pStyle w:val="ListParagraph"/>
        <w:numPr>
          <w:ilvl w:val="1"/>
          <w:numId w:val="29"/>
        </w:numPr>
      </w:pPr>
      <w:r>
        <w:t xml:space="preserve">Media streaming </w:t>
      </w:r>
      <w:r w:rsidR="00296673">
        <w:t>(</w:t>
      </w:r>
      <w:r>
        <w:t>through devices like Apple TV</w:t>
      </w:r>
      <w:r w:rsidR="00296673">
        <w:t>)</w:t>
      </w:r>
      <w:r>
        <w:t xml:space="preserve"> is becoming more </w:t>
      </w:r>
      <w:r w:rsidR="00E71F36">
        <w:t xml:space="preserve">popular, resulting in </w:t>
      </w:r>
      <w:r>
        <w:t>consumers using their STBs less frequently or not having pay-TV</w:t>
      </w:r>
      <w:r w:rsidR="00E71F36">
        <w:t xml:space="preserve"> service</w:t>
      </w:r>
      <w:r>
        <w:t xml:space="preserve"> at all.</w:t>
      </w:r>
      <w:r w:rsidR="008B66DA">
        <w:t xml:space="preserve"> </w:t>
      </w:r>
      <w:r w:rsidR="00E71F36">
        <w:t>This trend may make addressing</w:t>
      </w:r>
      <w:r w:rsidR="008B66DA">
        <w:t xml:space="preserve"> STBs </w:t>
      </w:r>
      <w:r w:rsidR="00296673">
        <w:t>obsolete</w:t>
      </w:r>
      <w:r w:rsidR="00E71F36">
        <w:t>.</w:t>
      </w:r>
    </w:p>
    <w:p w14:paraId="26089084" w14:textId="77777777" w:rsidR="009C3541" w:rsidRPr="008B66DA" w:rsidRDefault="009C3541" w:rsidP="00456C92">
      <w:pPr>
        <w:pStyle w:val="ListParagraph"/>
        <w:numPr>
          <w:ilvl w:val="0"/>
          <w:numId w:val="29"/>
        </w:numPr>
        <w:rPr>
          <w:b/>
        </w:rPr>
      </w:pPr>
      <w:r w:rsidRPr="008B66DA">
        <w:rPr>
          <w:b/>
        </w:rPr>
        <w:t>Personal Computers</w:t>
      </w:r>
    </w:p>
    <w:p w14:paraId="319CE248" w14:textId="77777777" w:rsidR="00427FF1" w:rsidRPr="00427FF1" w:rsidRDefault="00E279DD" w:rsidP="00456C92">
      <w:pPr>
        <w:pStyle w:val="ListParagraph"/>
        <w:numPr>
          <w:ilvl w:val="1"/>
          <w:numId w:val="29"/>
        </w:numPr>
      </w:pPr>
      <w:r>
        <w:t>Laptop</w:t>
      </w:r>
      <w:r w:rsidRPr="00E279DD">
        <w:t xml:space="preserve"> PC sales are </w:t>
      </w:r>
      <w:r>
        <w:t>increasing</w:t>
      </w:r>
      <w:r w:rsidRPr="00E279DD">
        <w:t xml:space="preserve"> as desktop</w:t>
      </w:r>
      <w:r>
        <w:t xml:space="preserve"> PC</w:t>
      </w:r>
      <w:r w:rsidRPr="00E279DD">
        <w:t xml:space="preserve"> sales decline. </w:t>
      </w:r>
      <w:r w:rsidR="00E71F36">
        <w:t>As such, targeting desktop PCs may quickly become irrelevant and result in low participation rates.</w:t>
      </w:r>
    </w:p>
    <w:p w14:paraId="6AA1C530" w14:textId="77777777" w:rsidR="00427FF1" w:rsidRPr="00427FF1" w:rsidRDefault="00E279DD" w:rsidP="00456C92">
      <w:pPr>
        <w:pStyle w:val="ListParagraph"/>
        <w:numPr>
          <w:ilvl w:val="1"/>
          <w:numId w:val="29"/>
        </w:numPr>
      </w:pPr>
      <w:r>
        <w:t>Laptop PC</w:t>
      </w:r>
      <w:r w:rsidR="00BF68F3">
        <w:t xml:space="preserve"> model</w:t>
      </w:r>
      <w:r>
        <w:t>s are becoming increasingly m</w:t>
      </w:r>
      <w:r w:rsidR="00BF68F3">
        <w:t xml:space="preserve">ore efficient, possibly </w:t>
      </w:r>
      <w:r w:rsidR="00E71F36">
        <w:t>resulting in limited program claimable savings.</w:t>
      </w:r>
    </w:p>
    <w:p w14:paraId="5B16A4E4" w14:textId="77777777" w:rsidR="009F08A9" w:rsidRDefault="00BF68F3" w:rsidP="00456C92">
      <w:pPr>
        <w:pStyle w:val="ListParagraph"/>
        <w:numPr>
          <w:ilvl w:val="1"/>
          <w:numId w:val="29"/>
        </w:numPr>
      </w:pPr>
      <w:r>
        <w:t>Increases in</w:t>
      </w:r>
      <w:r w:rsidR="009C3541" w:rsidRPr="00427FF1">
        <w:t xml:space="preserve"> clou</w:t>
      </w:r>
      <w:r w:rsidR="00AE6B27">
        <w:t>d computing may reduce home PC energy</w:t>
      </w:r>
      <w:r w:rsidR="009C3541" w:rsidRPr="00427FF1">
        <w:t xml:space="preserve"> consumption </w:t>
      </w:r>
      <w:r w:rsidR="00AE6B27">
        <w:t xml:space="preserve">by </w:t>
      </w:r>
      <w:r w:rsidR="009C3541" w:rsidRPr="00427FF1">
        <w:t>shifting powe</w:t>
      </w:r>
      <w:r w:rsidR="00AE6B27">
        <w:t xml:space="preserve">r requirements to data centers, </w:t>
      </w:r>
      <w:r w:rsidR="00803E5D">
        <w:t xml:space="preserve">thereby </w:t>
      </w:r>
      <w:r w:rsidR="00AE6B27">
        <w:t>making end-user incentive programs obsolete</w:t>
      </w:r>
      <w:r w:rsidR="00E71F36">
        <w:t>.</w:t>
      </w:r>
    </w:p>
    <w:p w14:paraId="0EC0B298" w14:textId="77777777" w:rsidR="00427FF1" w:rsidRPr="008B66DA" w:rsidRDefault="009C3541" w:rsidP="00456C92">
      <w:pPr>
        <w:pStyle w:val="ListParagraph"/>
        <w:numPr>
          <w:ilvl w:val="0"/>
          <w:numId w:val="29"/>
        </w:numPr>
        <w:rPr>
          <w:b/>
        </w:rPr>
      </w:pPr>
      <w:r w:rsidRPr="008B66DA">
        <w:rPr>
          <w:b/>
        </w:rPr>
        <w:t>Game Consoles</w:t>
      </w:r>
    </w:p>
    <w:p w14:paraId="11903D0D" w14:textId="74618A8E" w:rsidR="00E71F36" w:rsidRDefault="00AE6B27" w:rsidP="00456C92">
      <w:pPr>
        <w:pStyle w:val="ListParagraph"/>
        <w:numPr>
          <w:ilvl w:val="1"/>
          <w:numId w:val="29"/>
        </w:numPr>
      </w:pPr>
      <w:r>
        <w:t xml:space="preserve">There are few game console manufacturers. As such, engaging a large share of </w:t>
      </w:r>
      <w:r w:rsidR="00D3199B">
        <w:t xml:space="preserve">these </w:t>
      </w:r>
      <w:r>
        <w:t xml:space="preserve">manufacturers in discussions about energy efficiency measures may be easier than </w:t>
      </w:r>
      <w:r w:rsidR="00D3199B">
        <w:t xml:space="preserve">doing so </w:t>
      </w:r>
      <w:r>
        <w:t>for other product categories</w:t>
      </w:r>
      <w:r w:rsidR="00E71F36">
        <w:t xml:space="preserve">. </w:t>
      </w:r>
      <w:r w:rsidR="00296673">
        <w:t>This may also mean that</w:t>
      </w:r>
      <w:r w:rsidR="00E71F36">
        <w:t xml:space="preserve"> if even one manufacturer increases the efficiency of </w:t>
      </w:r>
      <w:r w:rsidR="008A57CD">
        <w:t>its</w:t>
      </w:r>
      <w:r w:rsidR="00E71F36">
        <w:t xml:space="preserve"> only model, program efforts to incentivize the purchase of energy</w:t>
      </w:r>
      <w:r w:rsidR="004B1954">
        <w:t>-</w:t>
      </w:r>
      <w:r w:rsidR="00E71F36">
        <w:t xml:space="preserve">efficient models </w:t>
      </w:r>
      <w:r w:rsidR="00296673">
        <w:t xml:space="preserve">will </w:t>
      </w:r>
      <w:r w:rsidR="00E71F36">
        <w:t xml:space="preserve">result in free ridership. </w:t>
      </w:r>
    </w:p>
    <w:p w14:paraId="6582C84E" w14:textId="77777777" w:rsidR="00427FF1" w:rsidRPr="00427FF1" w:rsidRDefault="00E71F36" w:rsidP="00456C92">
      <w:pPr>
        <w:pStyle w:val="ListParagraph"/>
        <w:numPr>
          <w:ilvl w:val="1"/>
          <w:numId w:val="29"/>
        </w:numPr>
      </w:pPr>
      <w:r>
        <w:t>Because there are few game console models</w:t>
      </w:r>
      <w:r w:rsidR="007679F4">
        <w:t>,</w:t>
      </w:r>
      <w:r w:rsidR="00AE6B27">
        <w:t xml:space="preserve"> consumer</w:t>
      </w:r>
      <w:r>
        <w:t>s have limited</w:t>
      </w:r>
      <w:r w:rsidR="00AE6B27">
        <w:t xml:space="preserve"> choice</w:t>
      </w:r>
      <w:r w:rsidR="002B0092">
        <w:t xml:space="preserve"> to </w:t>
      </w:r>
      <w:r>
        <w:t>select</w:t>
      </w:r>
      <w:r w:rsidR="002B0092">
        <w:t xml:space="preserve"> higher efficiency models</w:t>
      </w:r>
      <w:r w:rsidR="004B1954">
        <w:t>,</w:t>
      </w:r>
      <w:r w:rsidR="002B0092">
        <w:t xml:space="preserve"> and programs have fewer models to promote.</w:t>
      </w:r>
    </w:p>
    <w:p w14:paraId="654B3518" w14:textId="77777777" w:rsidR="009C3541" w:rsidRDefault="00AE6B27" w:rsidP="00456C92">
      <w:pPr>
        <w:pStyle w:val="ListParagraph"/>
        <w:numPr>
          <w:ilvl w:val="1"/>
          <w:numId w:val="29"/>
        </w:numPr>
      </w:pPr>
      <w:r>
        <w:t>Customers have gained interest in game console models that happen to be more energy</w:t>
      </w:r>
      <w:r w:rsidR="004B1954">
        <w:t>-</w:t>
      </w:r>
      <w:r>
        <w:t>efficient. This dynamic may also make program efforts irrelevant.</w:t>
      </w:r>
    </w:p>
    <w:p w14:paraId="1140D4FB" w14:textId="4FF3A068" w:rsidR="00394E30" w:rsidRDefault="00EE389F" w:rsidP="00394E30">
      <w:r>
        <w:lastRenderedPageBreak/>
        <w:t xml:space="preserve">NMR did not address network equipment in its 2012 </w:t>
      </w:r>
      <w:r w:rsidR="00D1024C">
        <w:t xml:space="preserve">Massachusetts </w:t>
      </w:r>
      <w:r>
        <w:t>study</w:t>
      </w:r>
      <w:r w:rsidR="004B1954">
        <w:t>,</w:t>
      </w:r>
      <w:r w:rsidR="002B0092">
        <w:t xml:space="preserve"> so this could be an area for future study of market trends</w:t>
      </w:r>
      <w:r>
        <w:t xml:space="preserve">. </w:t>
      </w:r>
      <w:r w:rsidR="00E71F36">
        <w:t xml:space="preserve">Because NMR conducted </w:t>
      </w:r>
      <w:r w:rsidR="002B0092">
        <w:t>that</w:t>
      </w:r>
      <w:r w:rsidR="00E71F36">
        <w:t xml:space="preserve"> study in 2012, it is possible that </w:t>
      </w:r>
      <w:r w:rsidR="002B0092">
        <w:t>the</w:t>
      </w:r>
      <w:r w:rsidR="00E71F36">
        <w:t xml:space="preserve"> market t</w:t>
      </w:r>
      <w:r w:rsidR="00226F57">
        <w:t>rends</w:t>
      </w:r>
      <w:r w:rsidR="002163E3">
        <w:t xml:space="preserve"> for the other products</w:t>
      </w:r>
      <w:r w:rsidR="00226F57">
        <w:t xml:space="preserve"> </w:t>
      </w:r>
      <w:r w:rsidR="002B0092">
        <w:t xml:space="preserve">listed above </w:t>
      </w:r>
      <w:r w:rsidR="00226F57">
        <w:t>have dramatically changed or</w:t>
      </w:r>
      <w:r w:rsidR="00E71F36">
        <w:t xml:space="preserve"> disappeared or </w:t>
      </w:r>
      <w:r w:rsidR="004B1954">
        <w:t xml:space="preserve">that </w:t>
      </w:r>
      <w:r w:rsidR="00E71F36">
        <w:t xml:space="preserve">new trends have emerged. The purpose of </w:t>
      </w:r>
      <w:r w:rsidR="00226F57">
        <w:t xml:space="preserve">NMR’s research presented in this 2014 report </w:t>
      </w:r>
      <w:r w:rsidR="002B0092">
        <w:t>has been</w:t>
      </w:r>
      <w:r w:rsidR="00226F57">
        <w:t xml:space="preserve"> largely to quantify potential program savings. In future research, the </w:t>
      </w:r>
      <w:r w:rsidR="002B0092">
        <w:t>EEB</w:t>
      </w:r>
      <w:r w:rsidR="00226F57">
        <w:t xml:space="preserve"> may wish to reassess the trends listed above and search for </w:t>
      </w:r>
      <w:r w:rsidR="00A06D70">
        <w:t>other</w:t>
      </w:r>
      <w:r w:rsidR="00226F57">
        <w:t xml:space="preserve"> emerging patterns.</w:t>
      </w:r>
      <w:bookmarkStart w:id="69" w:name="_Ref399765042"/>
      <w:bookmarkStart w:id="70" w:name="_Ref399765505"/>
    </w:p>
    <w:p w14:paraId="7F374CF0" w14:textId="77777777" w:rsidR="00754453" w:rsidRDefault="00754453" w:rsidP="00754453">
      <w:pPr>
        <w:pStyle w:val="Heading2"/>
      </w:pPr>
      <w:bookmarkStart w:id="71" w:name="_Ref400007975"/>
      <w:bookmarkStart w:id="72" w:name="_Ref400008023"/>
      <w:bookmarkStart w:id="73" w:name="_Toc401667854"/>
      <w:r>
        <w:t>Estimated Technical Energy Savings Potential</w:t>
      </w:r>
      <w:bookmarkEnd w:id="69"/>
      <w:bookmarkEnd w:id="70"/>
      <w:bookmarkEnd w:id="71"/>
      <w:bookmarkEnd w:id="72"/>
      <w:bookmarkEnd w:id="73"/>
    </w:p>
    <w:p w14:paraId="078F9664" w14:textId="505D9850" w:rsidR="00C21239" w:rsidRDefault="00C21239" w:rsidP="00DF1901">
      <w:pPr>
        <w:pStyle w:val="CommentText"/>
        <w:spacing w:line="276" w:lineRule="auto"/>
        <w:rPr>
          <w:sz w:val="24"/>
          <w:szCs w:val="24"/>
        </w:rPr>
      </w:pPr>
      <w:r w:rsidRPr="00BD28CF">
        <w:rPr>
          <w:sz w:val="24"/>
          <w:szCs w:val="24"/>
        </w:rPr>
        <w:t xml:space="preserve">The </w:t>
      </w:r>
      <w:r>
        <w:rPr>
          <w:sz w:val="24"/>
          <w:szCs w:val="24"/>
        </w:rPr>
        <w:t xml:space="preserve">savings estimates in Section </w:t>
      </w:r>
      <w:r>
        <w:rPr>
          <w:sz w:val="24"/>
          <w:szCs w:val="24"/>
        </w:rPr>
        <w:fldChar w:fldCharType="begin"/>
      </w:r>
      <w:r>
        <w:rPr>
          <w:sz w:val="24"/>
          <w:szCs w:val="24"/>
        </w:rPr>
        <w:instrText xml:space="preserve"> REF _Ref399070203 \r \h </w:instrText>
      </w:r>
      <w:r>
        <w:rPr>
          <w:sz w:val="24"/>
          <w:szCs w:val="24"/>
        </w:rPr>
      </w:r>
      <w:r>
        <w:rPr>
          <w:sz w:val="24"/>
          <w:szCs w:val="24"/>
        </w:rPr>
        <w:fldChar w:fldCharType="separate"/>
      </w:r>
      <w:r w:rsidR="00302A02">
        <w:rPr>
          <w:sz w:val="24"/>
          <w:szCs w:val="24"/>
        </w:rPr>
        <w:t>3</w:t>
      </w:r>
      <w:r>
        <w:rPr>
          <w:sz w:val="24"/>
          <w:szCs w:val="24"/>
        </w:rPr>
        <w:fldChar w:fldCharType="end"/>
      </w:r>
      <w:r w:rsidRPr="00BD28CF">
        <w:rPr>
          <w:sz w:val="24"/>
          <w:szCs w:val="24"/>
        </w:rPr>
        <w:t xml:space="preserve"> focus on household </w:t>
      </w:r>
      <w:r>
        <w:rPr>
          <w:sz w:val="24"/>
          <w:szCs w:val="24"/>
        </w:rPr>
        <w:t xml:space="preserve">and unit-level </w:t>
      </w:r>
      <w:r w:rsidRPr="00BD28CF">
        <w:rPr>
          <w:sz w:val="24"/>
          <w:szCs w:val="24"/>
        </w:rPr>
        <w:t>savings</w:t>
      </w:r>
      <w:r>
        <w:rPr>
          <w:sz w:val="24"/>
          <w:szCs w:val="24"/>
        </w:rPr>
        <w:t>,</w:t>
      </w:r>
      <w:r w:rsidRPr="00BD28CF">
        <w:rPr>
          <w:sz w:val="24"/>
          <w:szCs w:val="24"/>
        </w:rPr>
        <w:t xml:space="preserve"> but </w:t>
      </w:r>
      <w:r>
        <w:rPr>
          <w:sz w:val="24"/>
          <w:szCs w:val="24"/>
        </w:rPr>
        <w:t>these measures</w:t>
      </w:r>
      <w:r w:rsidRPr="00BD28CF">
        <w:rPr>
          <w:sz w:val="24"/>
          <w:szCs w:val="24"/>
        </w:rPr>
        <w:t xml:space="preserve"> </w:t>
      </w:r>
      <w:r>
        <w:rPr>
          <w:sz w:val="24"/>
          <w:szCs w:val="24"/>
        </w:rPr>
        <w:t>cannot</w:t>
      </w:r>
      <w:r w:rsidR="007A517C">
        <w:rPr>
          <w:sz w:val="24"/>
          <w:szCs w:val="24"/>
        </w:rPr>
        <w:t xml:space="preserve"> </w:t>
      </w:r>
      <w:r>
        <w:rPr>
          <w:sz w:val="24"/>
          <w:szCs w:val="24"/>
        </w:rPr>
        <w:t>be applied to all</w:t>
      </w:r>
      <w:r w:rsidRPr="00BD28CF">
        <w:rPr>
          <w:sz w:val="24"/>
          <w:szCs w:val="24"/>
        </w:rPr>
        <w:t xml:space="preserve"> households </w:t>
      </w:r>
      <w:r>
        <w:rPr>
          <w:sz w:val="24"/>
          <w:szCs w:val="24"/>
        </w:rPr>
        <w:t>or measures</w:t>
      </w:r>
      <w:r w:rsidR="007A517C">
        <w:rPr>
          <w:sz w:val="24"/>
          <w:szCs w:val="24"/>
        </w:rPr>
        <w:t xml:space="preserve"> in practice</w:t>
      </w:r>
      <w:r>
        <w:rPr>
          <w:sz w:val="24"/>
          <w:szCs w:val="24"/>
        </w:rPr>
        <w:t xml:space="preserve">. Aside from market trend challenges (Section </w:t>
      </w:r>
      <w:r>
        <w:rPr>
          <w:sz w:val="24"/>
          <w:szCs w:val="24"/>
        </w:rPr>
        <w:fldChar w:fldCharType="begin"/>
      </w:r>
      <w:r>
        <w:rPr>
          <w:sz w:val="24"/>
          <w:szCs w:val="24"/>
        </w:rPr>
        <w:instrText xml:space="preserve"> REF _Ref399069010 \r \h </w:instrText>
      </w:r>
      <w:r>
        <w:rPr>
          <w:sz w:val="24"/>
          <w:szCs w:val="24"/>
        </w:rPr>
      </w:r>
      <w:r>
        <w:rPr>
          <w:sz w:val="24"/>
          <w:szCs w:val="24"/>
        </w:rPr>
        <w:fldChar w:fldCharType="separate"/>
      </w:r>
      <w:r w:rsidR="00302A02">
        <w:rPr>
          <w:sz w:val="24"/>
          <w:szCs w:val="24"/>
        </w:rPr>
        <w:t>4.2</w:t>
      </w:r>
      <w:r>
        <w:rPr>
          <w:sz w:val="24"/>
          <w:szCs w:val="24"/>
        </w:rPr>
        <w:fldChar w:fldCharType="end"/>
      </w:r>
      <w:r>
        <w:rPr>
          <w:sz w:val="24"/>
          <w:szCs w:val="24"/>
        </w:rPr>
        <w:t>) and the level of willingness to participate (achievable potential), technical factors</w:t>
      </w:r>
      <w:r w:rsidR="001A75FB">
        <w:rPr>
          <w:sz w:val="24"/>
          <w:szCs w:val="24"/>
        </w:rPr>
        <w:t xml:space="preserve"> can limit the success of implementing the measures—</w:t>
      </w:r>
      <w:r>
        <w:rPr>
          <w:sz w:val="24"/>
          <w:szCs w:val="24"/>
        </w:rPr>
        <w:t xml:space="preserve">such as </w:t>
      </w:r>
      <w:r w:rsidR="00DF1901">
        <w:rPr>
          <w:sz w:val="24"/>
          <w:szCs w:val="24"/>
        </w:rPr>
        <w:t xml:space="preserve">high </w:t>
      </w:r>
      <w:r w:rsidR="002163E3">
        <w:rPr>
          <w:sz w:val="24"/>
          <w:szCs w:val="24"/>
        </w:rPr>
        <w:t xml:space="preserve">energy efficiency </w:t>
      </w:r>
      <w:r>
        <w:rPr>
          <w:sz w:val="24"/>
          <w:szCs w:val="24"/>
        </w:rPr>
        <w:t>saturation rates</w:t>
      </w:r>
      <w:r>
        <w:rPr>
          <w:rStyle w:val="FootnoteReference"/>
          <w:sz w:val="24"/>
          <w:szCs w:val="24"/>
        </w:rPr>
        <w:footnoteReference w:id="27"/>
      </w:r>
      <w:r>
        <w:rPr>
          <w:sz w:val="24"/>
          <w:szCs w:val="24"/>
        </w:rPr>
        <w:t xml:space="preserve"> </w:t>
      </w:r>
      <w:r w:rsidR="00DF1901">
        <w:rPr>
          <w:sz w:val="24"/>
          <w:szCs w:val="24"/>
        </w:rPr>
        <w:t xml:space="preserve">or limitations in </w:t>
      </w:r>
      <w:r>
        <w:rPr>
          <w:sz w:val="24"/>
          <w:szCs w:val="24"/>
        </w:rPr>
        <w:t>existing infrastructure</w:t>
      </w:r>
      <w:r w:rsidR="00DF1901">
        <w:rPr>
          <w:sz w:val="24"/>
          <w:szCs w:val="24"/>
        </w:rPr>
        <w:t xml:space="preserve"> in</w:t>
      </w:r>
      <w:r>
        <w:rPr>
          <w:sz w:val="24"/>
          <w:szCs w:val="24"/>
        </w:rPr>
        <w:t xml:space="preserve"> the market to which a measure could be applied. </w:t>
      </w:r>
    </w:p>
    <w:p w14:paraId="2A892FE7" w14:textId="11F723FA" w:rsidR="00641E37" w:rsidRDefault="00754453" w:rsidP="00DF1901">
      <w:pPr>
        <w:pStyle w:val="CommentText"/>
        <w:spacing w:line="276" w:lineRule="auto"/>
        <w:rPr>
          <w:sz w:val="24"/>
          <w:szCs w:val="24"/>
        </w:rPr>
      </w:pPr>
      <w:r>
        <w:rPr>
          <w:sz w:val="24"/>
          <w:szCs w:val="24"/>
        </w:rPr>
        <w:t xml:space="preserve">In 2012, NMR conducted a consumer electronics saturation study for </w:t>
      </w:r>
      <w:r w:rsidR="005D1A88">
        <w:rPr>
          <w:sz w:val="24"/>
          <w:szCs w:val="24"/>
        </w:rPr>
        <w:t xml:space="preserve">the </w:t>
      </w:r>
      <w:r>
        <w:rPr>
          <w:sz w:val="24"/>
          <w:szCs w:val="24"/>
        </w:rPr>
        <w:t xml:space="preserve">Massachusetts Program Administrators (referred to </w:t>
      </w:r>
      <w:r w:rsidR="005D1A88">
        <w:rPr>
          <w:sz w:val="24"/>
          <w:szCs w:val="24"/>
        </w:rPr>
        <w:t>hereafter</w:t>
      </w:r>
      <w:r>
        <w:rPr>
          <w:sz w:val="24"/>
          <w:szCs w:val="24"/>
        </w:rPr>
        <w:t xml:space="preserve"> as the Massachusetts 2012 Saturation Study). Drawing on findings from 150 site visits in Massachusetts </w:t>
      </w:r>
      <w:r w:rsidRPr="004452C5">
        <w:rPr>
          <w:sz w:val="24"/>
          <w:szCs w:val="24"/>
        </w:rPr>
        <w:t xml:space="preserve">homes, </w:t>
      </w:r>
      <w:r>
        <w:rPr>
          <w:sz w:val="24"/>
          <w:szCs w:val="24"/>
        </w:rPr>
        <w:t>the study report</w:t>
      </w:r>
      <w:r w:rsidR="005D1A88">
        <w:rPr>
          <w:sz w:val="24"/>
          <w:szCs w:val="24"/>
        </w:rPr>
        <w:t>s</w:t>
      </w:r>
      <w:r>
        <w:rPr>
          <w:sz w:val="24"/>
          <w:szCs w:val="24"/>
        </w:rPr>
        <w:t xml:space="preserve"> </w:t>
      </w:r>
      <w:r w:rsidRPr="004452C5">
        <w:rPr>
          <w:sz w:val="24"/>
          <w:szCs w:val="24"/>
        </w:rPr>
        <w:t>the types of consumer electronics</w:t>
      </w:r>
      <w:r>
        <w:rPr>
          <w:sz w:val="24"/>
          <w:szCs w:val="24"/>
        </w:rPr>
        <w:t xml:space="preserve"> that</w:t>
      </w:r>
      <w:r w:rsidRPr="004452C5">
        <w:rPr>
          <w:sz w:val="24"/>
          <w:szCs w:val="24"/>
        </w:rPr>
        <w:t xml:space="preserve"> </w:t>
      </w:r>
      <w:r w:rsidR="00DF1901">
        <w:rPr>
          <w:sz w:val="24"/>
          <w:szCs w:val="24"/>
        </w:rPr>
        <w:t xml:space="preserve">Massachusetts </w:t>
      </w:r>
      <w:r w:rsidRPr="004452C5">
        <w:rPr>
          <w:sz w:val="24"/>
          <w:szCs w:val="24"/>
        </w:rPr>
        <w:t>customers use, the characteristics of those products, and the configurations of produc</w:t>
      </w:r>
      <w:r w:rsidR="00DF1901">
        <w:rPr>
          <w:sz w:val="24"/>
          <w:szCs w:val="24"/>
        </w:rPr>
        <w:t>ts that customers use together</w:t>
      </w:r>
      <w:r w:rsidRPr="00BD28CF">
        <w:rPr>
          <w:sz w:val="24"/>
          <w:szCs w:val="24"/>
        </w:rPr>
        <w:t xml:space="preserve">. </w:t>
      </w:r>
      <w:r w:rsidR="0019314E">
        <w:rPr>
          <w:sz w:val="24"/>
          <w:szCs w:val="24"/>
        </w:rPr>
        <w:t xml:space="preserve">In an effort to explore how the household and per-unit savings described in this 2014 </w:t>
      </w:r>
      <w:r w:rsidR="0019314E" w:rsidRPr="00BD28CF">
        <w:rPr>
          <w:sz w:val="24"/>
          <w:szCs w:val="24"/>
        </w:rPr>
        <w:t>literature review</w:t>
      </w:r>
      <w:r w:rsidR="0019314E">
        <w:rPr>
          <w:sz w:val="24"/>
          <w:szCs w:val="24"/>
        </w:rPr>
        <w:t xml:space="preserve"> might eventually be applied to the state as a whole, t</w:t>
      </w:r>
      <w:r w:rsidR="00641E37">
        <w:rPr>
          <w:sz w:val="24"/>
          <w:szCs w:val="24"/>
        </w:rPr>
        <w:t>he team</w:t>
      </w:r>
      <w:r w:rsidRPr="00BD28CF">
        <w:rPr>
          <w:sz w:val="24"/>
          <w:szCs w:val="24"/>
        </w:rPr>
        <w:t xml:space="preserve"> extrapolate</w:t>
      </w:r>
      <w:r w:rsidR="00641E37">
        <w:rPr>
          <w:sz w:val="24"/>
          <w:szCs w:val="24"/>
        </w:rPr>
        <w:t>d</w:t>
      </w:r>
      <w:r w:rsidRPr="00BD28CF">
        <w:rPr>
          <w:sz w:val="24"/>
          <w:szCs w:val="24"/>
        </w:rPr>
        <w:t xml:space="preserve"> the Massachusetts 2012 Saturation Study</w:t>
      </w:r>
      <w:r w:rsidR="00641E37">
        <w:rPr>
          <w:sz w:val="24"/>
          <w:szCs w:val="24"/>
        </w:rPr>
        <w:t xml:space="preserve"> findings to </w:t>
      </w:r>
      <w:r w:rsidR="0019314E">
        <w:rPr>
          <w:sz w:val="24"/>
          <w:szCs w:val="24"/>
        </w:rPr>
        <w:t>one</w:t>
      </w:r>
      <w:r w:rsidR="00641E37">
        <w:rPr>
          <w:sz w:val="24"/>
          <w:szCs w:val="24"/>
        </w:rPr>
        <w:t xml:space="preserve"> of </w:t>
      </w:r>
      <w:r w:rsidRPr="00BD28CF">
        <w:rPr>
          <w:sz w:val="24"/>
          <w:szCs w:val="24"/>
        </w:rPr>
        <w:t xml:space="preserve">the </w:t>
      </w:r>
      <w:r w:rsidR="00641E37">
        <w:rPr>
          <w:sz w:val="24"/>
          <w:szCs w:val="24"/>
        </w:rPr>
        <w:t xml:space="preserve">measures </w:t>
      </w:r>
      <w:r w:rsidR="0019314E">
        <w:rPr>
          <w:sz w:val="24"/>
          <w:szCs w:val="24"/>
        </w:rPr>
        <w:t xml:space="preserve">presented in Section </w:t>
      </w:r>
      <w:r w:rsidR="0019314E">
        <w:rPr>
          <w:sz w:val="24"/>
          <w:szCs w:val="24"/>
        </w:rPr>
        <w:fldChar w:fldCharType="begin"/>
      </w:r>
      <w:r w:rsidR="0019314E">
        <w:rPr>
          <w:sz w:val="24"/>
          <w:szCs w:val="24"/>
        </w:rPr>
        <w:instrText xml:space="preserve"> REF _Ref399070203 \r \h </w:instrText>
      </w:r>
      <w:r w:rsidR="0019314E">
        <w:rPr>
          <w:sz w:val="24"/>
          <w:szCs w:val="24"/>
        </w:rPr>
      </w:r>
      <w:r w:rsidR="0019314E">
        <w:rPr>
          <w:sz w:val="24"/>
          <w:szCs w:val="24"/>
        </w:rPr>
        <w:fldChar w:fldCharType="separate"/>
      </w:r>
      <w:r w:rsidR="00302A02">
        <w:rPr>
          <w:sz w:val="24"/>
          <w:szCs w:val="24"/>
        </w:rPr>
        <w:t>3</w:t>
      </w:r>
      <w:r w:rsidR="0019314E">
        <w:rPr>
          <w:sz w:val="24"/>
          <w:szCs w:val="24"/>
        </w:rPr>
        <w:fldChar w:fldCharType="end"/>
      </w:r>
      <w:r>
        <w:rPr>
          <w:sz w:val="24"/>
          <w:szCs w:val="24"/>
        </w:rPr>
        <w:t>.</w:t>
      </w:r>
      <w:r>
        <w:rPr>
          <w:rStyle w:val="FootnoteReference"/>
          <w:sz w:val="24"/>
          <w:szCs w:val="24"/>
        </w:rPr>
        <w:footnoteReference w:id="28"/>
      </w:r>
      <w:r w:rsidR="00641E37">
        <w:rPr>
          <w:sz w:val="24"/>
          <w:szCs w:val="24"/>
        </w:rPr>
        <w:t xml:space="preserve"> </w:t>
      </w:r>
      <w:r>
        <w:rPr>
          <w:sz w:val="24"/>
          <w:szCs w:val="24"/>
        </w:rPr>
        <w:t xml:space="preserve">The purpose of this </w:t>
      </w:r>
      <w:r w:rsidR="0019314E">
        <w:rPr>
          <w:sz w:val="24"/>
          <w:szCs w:val="24"/>
        </w:rPr>
        <w:t xml:space="preserve">exercise </w:t>
      </w:r>
      <w:r>
        <w:rPr>
          <w:sz w:val="24"/>
          <w:szCs w:val="24"/>
        </w:rPr>
        <w:t xml:space="preserve">is to determine, </w:t>
      </w:r>
      <w:r w:rsidR="00567C95">
        <w:rPr>
          <w:sz w:val="24"/>
          <w:szCs w:val="24"/>
        </w:rPr>
        <w:t>if</w:t>
      </w:r>
      <w:r w:rsidR="00BD28CF">
        <w:rPr>
          <w:sz w:val="24"/>
          <w:szCs w:val="24"/>
        </w:rPr>
        <w:t xml:space="preserve"> </w:t>
      </w:r>
      <w:r>
        <w:rPr>
          <w:sz w:val="24"/>
          <w:szCs w:val="24"/>
        </w:rPr>
        <w:t>all customers and market actors were willing to implement a given measure, what savings could technically be achieved in the state as a whole</w:t>
      </w:r>
      <w:r w:rsidR="00641E37">
        <w:rPr>
          <w:sz w:val="24"/>
          <w:szCs w:val="24"/>
        </w:rPr>
        <w:t>.</w:t>
      </w:r>
    </w:p>
    <w:p w14:paraId="6BFF85E2" w14:textId="48E54F74" w:rsidR="001A75FB" w:rsidRDefault="00754453" w:rsidP="00DF1901">
      <w:pPr>
        <w:pStyle w:val="CommentText"/>
        <w:spacing w:line="276" w:lineRule="auto"/>
        <w:rPr>
          <w:sz w:val="24"/>
          <w:szCs w:val="24"/>
        </w:rPr>
      </w:pPr>
      <w:r>
        <w:rPr>
          <w:sz w:val="24"/>
          <w:szCs w:val="24"/>
        </w:rPr>
        <w:t>Given that the scope of this research effort does not include a technical potential study</w:t>
      </w:r>
      <w:r w:rsidR="00042D47">
        <w:rPr>
          <w:sz w:val="24"/>
          <w:szCs w:val="24"/>
        </w:rPr>
        <w:t>,</w:t>
      </w:r>
      <w:r>
        <w:rPr>
          <w:sz w:val="24"/>
          <w:szCs w:val="24"/>
        </w:rPr>
        <w:t xml:space="preserve"> the team limited </w:t>
      </w:r>
      <w:r w:rsidR="00042D47">
        <w:rPr>
          <w:sz w:val="24"/>
          <w:szCs w:val="24"/>
        </w:rPr>
        <w:t>its</w:t>
      </w:r>
      <w:r>
        <w:rPr>
          <w:sz w:val="24"/>
          <w:szCs w:val="24"/>
        </w:rPr>
        <w:t xml:space="preserve"> investigation of this topic to </w:t>
      </w:r>
      <w:r w:rsidR="00A2423A">
        <w:rPr>
          <w:sz w:val="24"/>
          <w:szCs w:val="24"/>
        </w:rPr>
        <w:t xml:space="preserve">one </w:t>
      </w:r>
      <w:r>
        <w:rPr>
          <w:sz w:val="24"/>
          <w:szCs w:val="24"/>
        </w:rPr>
        <w:t>possible measure presented earlier in this report</w:t>
      </w:r>
      <w:r w:rsidR="00A2423A">
        <w:rPr>
          <w:sz w:val="24"/>
          <w:szCs w:val="24"/>
        </w:rPr>
        <w:t>—PC power management</w:t>
      </w:r>
      <w:r>
        <w:rPr>
          <w:sz w:val="24"/>
          <w:szCs w:val="24"/>
        </w:rPr>
        <w:t>.</w:t>
      </w:r>
      <w:r w:rsidR="004D107A">
        <w:rPr>
          <w:rStyle w:val="FootnoteReference"/>
          <w:sz w:val="24"/>
          <w:szCs w:val="24"/>
        </w:rPr>
        <w:footnoteReference w:id="29"/>
      </w:r>
      <w:r w:rsidR="00641E37">
        <w:rPr>
          <w:sz w:val="24"/>
          <w:szCs w:val="24"/>
        </w:rPr>
        <w:t xml:space="preserve"> </w:t>
      </w:r>
      <w:r w:rsidR="00042D47">
        <w:rPr>
          <w:sz w:val="24"/>
          <w:szCs w:val="24"/>
        </w:rPr>
        <w:t>T</w:t>
      </w:r>
      <w:r w:rsidR="00641E37">
        <w:rPr>
          <w:sz w:val="24"/>
          <w:szCs w:val="24"/>
        </w:rPr>
        <w:t xml:space="preserve">hese findings </w:t>
      </w:r>
      <w:r w:rsidR="00042D47">
        <w:rPr>
          <w:sz w:val="24"/>
          <w:szCs w:val="24"/>
        </w:rPr>
        <w:t xml:space="preserve">should be interpreted </w:t>
      </w:r>
      <w:r w:rsidR="00641E37">
        <w:rPr>
          <w:sz w:val="24"/>
          <w:szCs w:val="24"/>
        </w:rPr>
        <w:t>with caution</w:t>
      </w:r>
      <w:r w:rsidR="00042D47">
        <w:rPr>
          <w:sz w:val="24"/>
          <w:szCs w:val="24"/>
        </w:rPr>
        <w:t>,</w:t>
      </w:r>
      <w:r w:rsidR="00641E37">
        <w:rPr>
          <w:sz w:val="24"/>
          <w:szCs w:val="24"/>
        </w:rPr>
        <w:t xml:space="preserve"> given that the estimate do</w:t>
      </w:r>
      <w:r w:rsidR="004D107A">
        <w:rPr>
          <w:sz w:val="24"/>
          <w:szCs w:val="24"/>
        </w:rPr>
        <w:t>es</w:t>
      </w:r>
      <w:r w:rsidR="00641E37">
        <w:rPr>
          <w:sz w:val="24"/>
          <w:szCs w:val="24"/>
        </w:rPr>
        <w:t xml:space="preserve"> not use </w:t>
      </w:r>
      <w:r w:rsidR="00641E37" w:rsidRPr="00BD28CF">
        <w:rPr>
          <w:sz w:val="24"/>
          <w:szCs w:val="24"/>
        </w:rPr>
        <w:t xml:space="preserve">recent saturation data </w:t>
      </w:r>
      <w:r w:rsidR="00641E37">
        <w:rPr>
          <w:sz w:val="24"/>
          <w:szCs w:val="24"/>
        </w:rPr>
        <w:t>specific to Connecticut</w:t>
      </w:r>
      <w:r w:rsidR="00DA20A9">
        <w:rPr>
          <w:sz w:val="24"/>
          <w:szCs w:val="24"/>
        </w:rPr>
        <w:t xml:space="preserve">, plus </w:t>
      </w:r>
      <w:r w:rsidR="004D107A">
        <w:rPr>
          <w:sz w:val="24"/>
          <w:szCs w:val="24"/>
        </w:rPr>
        <w:t xml:space="preserve">it </w:t>
      </w:r>
      <w:r w:rsidR="00DA20A9">
        <w:rPr>
          <w:sz w:val="24"/>
          <w:szCs w:val="24"/>
        </w:rPr>
        <w:t>only represent</w:t>
      </w:r>
      <w:r w:rsidR="004D107A">
        <w:rPr>
          <w:sz w:val="24"/>
          <w:szCs w:val="24"/>
        </w:rPr>
        <w:t>s</w:t>
      </w:r>
      <w:r w:rsidR="00DA20A9">
        <w:rPr>
          <w:sz w:val="24"/>
          <w:szCs w:val="24"/>
        </w:rPr>
        <w:t xml:space="preserve"> the technical potential, and thus do</w:t>
      </w:r>
      <w:r w:rsidR="004D107A">
        <w:rPr>
          <w:sz w:val="24"/>
          <w:szCs w:val="24"/>
        </w:rPr>
        <w:t>es</w:t>
      </w:r>
      <w:r w:rsidR="00DA20A9">
        <w:rPr>
          <w:sz w:val="24"/>
          <w:szCs w:val="24"/>
        </w:rPr>
        <w:t xml:space="preserve"> not account for cost-effectiveness screening (economic potential) or market acceptance (achievable potential)</w:t>
      </w:r>
      <w:r w:rsidR="00641E37">
        <w:rPr>
          <w:sz w:val="24"/>
          <w:szCs w:val="24"/>
        </w:rPr>
        <w:t>.</w:t>
      </w:r>
    </w:p>
    <w:p w14:paraId="79645D94" w14:textId="77777777" w:rsidR="00BD28CF" w:rsidRDefault="00754453" w:rsidP="00394E30">
      <w:pPr>
        <w:pStyle w:val="CommentText"/>
        <w:keepLines/>
        <w:spacing w:line="276" w:lineRule="auto"/>
        <w:rPr>
          <w:sz w:val="24"/>
          <w:szCs w:val="24"/>
        </w:rPr>
      </w:pPr>
      <w:r w:rsidRPr="000C64CD">
        <w:rPr>
          <w:sz w:val="24"/>
          <w:szCs w:val="24"/>
        </w:rPr>
        <w:lastRenderedPageBreak/>
        <w:t xml:space="preserve">The </w:t>
      </w:r>
      <w:r w:rsidRPr="00B600E6">
        <w:rPr>
          <w:sz w:val="24"/>
          <w:szCs w:val="24"/>
        </w:rPr>
        <w:t>Massachusetts 2012 Saturation Study found that the average number of desktop PC units per household in Massachusetts was 0.5 and that 55% of desktop PC</w:t>
      </w:r>
      <w:r>
        <w:rPr>
          <w:sz w:val="24"/>
          <w:szCs w:val="24"/>
        </w:rPr>
        <w:t xml:space="preserve"> unit</w:t>
      </w:r>
      <w:r w:rsidRPr="00B600E6">
        <w:rPr>
          <w:sz w:val="24"/>
          <w:szCs w:val="24"/>
        </w:rPr>
        <w:t xml:space="preserve">s had power management enabled. As </w:t>
      </w:r>
      <w:r>
        <w:rPr>
          <w:sz w:val="24"/>
          <w:szCs w:val="24"/>
        </w:rPr>
        <w:t>presented</w:t>
      </w:r>
      <w:r w:rsidRPr="00B600E6">
        <w:rPr>
          <w:sz w:val="24"/>
          <w:szCs w:val="24"/>
        </w:rPr>
        <w:t xml:space="preserve"> in </w:t>
      </w:r>
      <w:r w:rsidRPr="00B600E6">
        <w:rPr>
          <w:rFonts w:cs="Times New Roman"/>
          <w:color w:val="000000"/>
          <w:sz w:val="24"/>
          <w:szCs w:val="24"/>
        </w:rPr>
        <w:fldChar w:fldCharType="begin"/>
      </w:r>
      <w:r w:rsidRPr="00B600E6">
        <w:rPr>
          <w:rFonts w:cs="Times New Roman"/>
          <w:color w:val="000000"/>
          <w:sz w:val="24"/>
          <w:szCs w:val="24"/>
        </w:rPr>
        <w:instrText xml:space="preserve"> REF _Ref398976549 \h  \* MERGEFORMAT </w:instrText>
      </w:r>
      <w:r w:rsidRPr="00B600E6">
        <w:rPr>
          <w:rFonts w:cs="Times New Roman"/>
          <w:color w:val="000000"/>
          <w:sz w:val="24"/>
          <w:szCs w:val="24"/>
        </w:rPr>
      </w:r>
      <w:r w:rsidRPr="00B600E6">
        <w:rPr>
          <w:rFonts w:cs="Times New Roman"/>
          <w:color w:val="000000"/>
          <w:sz w:val="24"/>
          <w:szCs w:val="24"/>
        </w:rPr>
        <w:fldChar w:fldCharType="separate"/>
      </w:r>
      <w:r w:rsidR="00302A02" w:rsidRPr="00302A02">
        <w:rPr>
          <w:sz w:val="24"/>
          <w:szCs w:val="24"/>
        </w:rPr>
        <w:t xml:space="preserve">Table </w:t>
      </w:r>
      <w:r w:rsidR="00302A02" w:rsidRPr="00302A02">
        <w:rPr>
          <w:noProof/>
          <w:sz w:val="24"/>
          <w:szCs w:val="24"/>
        </w:rPr>
        <w:t>5</w:t>
      </w:r>
      <w:r w:rsidRPr="00B600E6">
        <w:rPr>
          <w:rFonts w:cs="Times New Roman"/>
          <w:color w:val="000000"/>
          <w:sz w:val="24"/>
          <w:szCs w:val="24"/>
        </w:rPr>
        <w:fldChar w:fldCharType="end"/>
      </w:r>
      <w:r w:rsidRPr="00B600E6">
        <w:rPr>
          <w:rFonts w:cs="Times New Roman"/>
          <w:color w:val="000000"/>
          <w:sz w:val="24"/>
          <w:szCs w:val="24"/>
        </w:rPr>
        <w:t xml:space="preserve"> in Section </w:t>
      </w:r>
      <w:r w:rsidRPr="00B600E6">
        <w:rPr>
          <w:rFonts w:cs="Times New Roman"/>
          <w:color w:val="000000"/>
          <w:sz w:val="24"/>
          <w:szCs w:val="24"/>
        </w:rPr>
        <w:fldChar w:fldCharType="begin"/>
      </w:r>
      <w:r w:rsidRPr="00B600E6">
        <w:rPr>
          <w:rFonts w:cs="Times New Roman"/>
          <w:color w:val="000000"/>
          <w:sz w:val="24"/>
          <w:szCs w:val="24"/>
        </w:rPr>
        <w:instrText xml:space="preserve"> REF _Ref398977975 \r \h </w:instrText>
      </w:r>
      <w:r>
        <w:rPr>
          <w:rFonts w:cs="Times New Roman"/>
          <w:color w:val="000000"/>
          <w:sz w:val="24"/>
          <w:szCs w:val="24"/>
        </w:rPr>
        <w:instrText xml:space="preserve"> \* MERGEFORMAT </w:instrText>
      </w:r>
      <w:r w:rsidRPr="00B600E6">
        <w:rPr>
          <w:rFonts w:cs="Times New Roman"/>
          <w:color w:val="000000"/>
          <w:sz w:val="24"/>
          <w:szCs w:val="24"/>
        </w:rPr>
      </w:r>
      <w:r w:rsidRPr="00B600E6">
        <w:rPr>
          <w:rFonts w:cs="Times New Roman"/>
          <w:color w:val="000000"/>
          <w:sz w:val="24"/>
          <w:szCs w:val="24"/>
        </w:rPr>
        <w:fldChar w:fldCharType="separate"/>
      </w:r>
      <w:r w:rsidR="00302A02">
        <w:rPr>
          <w:rFonts w:cs="Times New Roman"/>
          <w:color w:val="000000"/>
          <w:sz w:val="24"/>
          <w:szCs w:val="24"/>
        </w:rPr>
        <w:t>3.4</w:t>
      </w:r>
      <w:r w:rsidRPr="00B600E6">
        <w:rPr>
          <w:rFonts w:cs="Times New Roman"/>
          <w:color w:val="000000"/>
          <w:sz w:val="24"/>
          <w:szCs w:val="24"/>
        </w:rPr>
        <w:fldChar w:fldCharType="end"/>
      </w:r>
      <w:r w:rsidRPr="00B600E6">
        <w:rPr>
          <w:rFonts w:cs="Times New Roman"/>
          <w:color w:val="000000"/>
          <w:sz w:val="24"/>
          <w:szCs w:val="24"/>
        </w:rPr>
        <w:t>, the literature shows that achieving ideal power management in an already installed desktop unit could result in 144</w:t>
      </w:r>
      <w:r w:rsidR="003E1542">
        <w:rPr>
          <w:rFonts w:cs="Times New Roman"/>
          <w:color w:val="000000"/>
          <w:sz w:val="24"/>
          <w:szCs w:val="24"/>
        </w:rPr>
        <w:t xml:space="preserve"> </w:t>
      </w:r>
      <w:r w:rsidRPr="00B600E6">
        <w:rPr>
          <w:rFonts w:cs="Times New Roman"/>
          <w:color w:val="000000"/>
          <w:sz w:val="24"/>
          <w:szCs w:val="24"/>
        </w:rPr>
        <w:t>kWh/year</w:t>
      </w:r>
      <w:r w:rsidR="00C71E25">
        <w:rPr>
          <w:rFonts w:cs="Times New Roman"/>
          <w:color w:val="000000"/>
          <w:sz w:val="24"/>
          <w:szCs w:val="24"/>
        </w:rPr>
        <w:t xml:space="preserve"> savings per unit</w:t>
      </w:r>
      <w:r w:rsidRPr="00B600E6">
        <w:rPr>
          <w:rFonts w:cs="Times New Roman"/>
          <w:color w:val="000000"/>
          <w:sz w:val="24"/>
          <w:szCs w:val="24"/>
        </w:rPr>
        <w:t xml:space="preserve">. Assuming that Connecticut has the same saturation rates as Massachusetts, the team estimates that </w:t>
      </w:r>
      <w:r w:rsidRPr="00B600E6">
        <w:rPr>
          <w:sz w:val="24"/>
          <w:szCs w:val="24"/>
        </w:rPr>
        <w:t>43.4</w:t>
      </w:r>
      <w:r w:rsidR="003E1542">
        <w:rPr>
          <w:sz w:val="24"/>
          <w:szCs w:val="24"/>
        </w:rPr>
        <w:t xml:space="preserve"> </w:t>
      </w:r>
      <w:r w:rsidRPr="00B600E6">
        <w:rPr>
          <w:sz w:val="24"/>
          <w:szCs w:val="24"/>
        </w:rPr>
        <w:t xml:space="preserve">GWh/year could </w:t>
      </w:r>
      <w:r>
        <w:rPr>
          <w:sz w:val="24"/>
          <w:szCs w:val="24"/>
        </w:rPr>
        <w:t xml:space="preserve">technically </w:t>
      </w:r>
      <w:r w:rsidRPr="00B600E6">
        <w:rPr>
          <w:sz w:val="24"/>
          <w:szCs w:val="24"/>
        </w:rPr>
        <w:t xml:space="preserve">be saved in Connecticut by achieving ideal power management in </w:t>
      </w:r>
      <w:r w:rsidRPr="00BD28CF">
        <w:rPr>
          <w:sz w:val="24"/>
          <w:szCs w:val="24"/>
        </w:rPr>
        <w:t>the entire installed base of desktop PCs in the state—this averages</w:t>
      </w:r>
      <w:r w:rsidR="003E1542">
        <w:rPr>
          <w:sz w:val="24"/>
          <w:szCs w:val="24"/>
        </w:rPr>
        <w:t xml:space="preserve"> to</w:t>
      </w:r>
      <w:r w:rsidRPr="00BD28CF">
        <w:rPr>
          <w:sz w:val="24"/>
          <w:szCs w:val="24"/>
        </w:rPr>
        <w:t xml:space="preserve"> 32</w:t>
      </w:r>
      <w:r w:rsidR="003E1542">
        <w:rPr>
          <w:sz w:val="24"/>
          <w:szCs w:val="24"/>
        </w:rPr>
        <w:t xml:space="preserve"> </w:t>
      </w:r>
      <w:r w:rsidRPr="00BD28CF">
        <w:rPr>
          <w:sz w:val="24"/>
          <w:szCs w:val="24"/>
        </w:rPr>
        <w:t>kWh/year/household.</w:t>
      </w:r>
      <w:r w:rsidR="00237CC2" w:rsidRPr="00BD28CF">
        <w:rPr>
          <w:sz w:val="24"/>
          <w:szCs w:val="24"/>
        </w:rPr>
        <w:t xml:space="preserve"> </w:t>
      </w:r>
      <w:r w:rsidR="00BD28CF" w:rsidRPr="00BD28CF">
        <w:rPr>
          <w:sz w:val="24"/>
          <w:szCs w:val="24"/>
        </w:rPr>
        <w:fldChar w:fldCharType="begin"/>
      </w:r>
      <w:r w:rsidR="00BD28CF" w:rsidRPr="00BD28CF">
        <w:rPr>
          <w:sz w:val="24"/>
          <w:szCs w:val="24"/>
        </w:rPr>
        <w:instrText xml:space="preserve"> REF _Ref399069893 \h </w:instrText>
      </w:r>
      <w:r w:rsidR="00BD28CF">
        <w:rPr>
          <w:sz w:val="24"/>
          <w:szCs w:val="24"/>
        </w:rPr>
        <w:instrText xml:space="preserve"> \* MERGEFORMAT </w:instrText>
      </w:r>
      <w:r w:rsidR="00BD28CF" w:rsidRPr="00BD28CF">
        <w:rPr>
          <w:sz w:val="24"/>
          <w:szCs w:val="24"/>
        </w:rPr>
      </w:r>
      <w:r w:rsidR="00BD28CF" w:rsidRPr="00BD28CF">
        <w:rPr>
          <w:sz w:val="24"/>
          <w:szCs w:val="24"/>
        </w:rPr>
        <w:fldChar w:fldCharType="separate"/>
      </w:r>
      <w:r w:rsidR="00302A02" w:rsidRPr="00302A02">
        <w:rPr>
          <w:sz w:val="24"/>
          <w:szCs w:val="24"/>
        </w:rPr>
        <w:t xml:space="preserve">Table </w:t>
      </w:r>
      <w:r w:rsidR="00302A02" w:rsidRPr="00302A02">
        <w:rPr>
          <w:noProof/>
          <w:sz w:val="24"/>
          <w:szCs w:val="24"/>
        </w:rPr>
        <w:t>9</w:t>
      </w:r>
      <w:r w:rsidR="00BD28CF" w:rsidRPr="00BD28CF">
        <w:rPr>
          <w:sz w:val="24"/>
          <w:szCs w:val="24"/>
        </w:rPr>
        <w:fldChar w:fldCharType="end"/>
      </w:r>
      <w:r w:rsidR="00BD28CF" w:rsidRPr="00BD28CF">
        <w:rPr>
          <w:sz w:val="24"/>
          <w:szCs w:val="24"/>
        </w:rPr>
        <w:t xml:space="preserve"> shows the process that the team used to estimate these savings. </w:t>
      </w:r>
    </w:p>
    <w:p w14:paraId="1A66EB35" w14:textId="77777777" w:rsidR="00754453" w:rsidRPr="00B600E6" w:rsidRDefault="00237CC2" w:rsidP="00C71E25">
      <w:pPr>
        <w:pStyle w:val="CommentText"/>
        <w:keepNext/>
        <w:keepLines/>
        <w:spacing w:line="276" w:lineRule="auto"/>
        <w:rPr>
          <w:sz w:val="24"/>
          <w:szCs w:val="24"/>
        </w:rPr>
      </w:pPr>
      <w:r w:rsidRPr="00BD28CF">
        <w:rPr>
          <w:sz w:val="24"/>
          <w:szCs w:val="24"/>
        </w:rPr>
        <w:t>Power management optimization</w:t>
      </w:r>
      <w:r>
        <w:rPr>
          <w:sz w:val="24"/>
          <w:szCs w:val="24"/>
        </w:rPr>
        <w:t xml:space="preserve"> could possibly be implemented using a direct</w:t>
      </w:r>
      <w:r w:rsidR="003E1542">
        <w:rPr>
          <w:sz w:val="24"/>
          <w:szCs w:val="24"/>
        </w:rPr>
        <w:t>-</w:t>
      </w:r>
      <w:r>
        <w:rPr>
          <w:sz w:val="24"/>
          <w:szCs w:val="24"/>
        </w:rPr>
        <w:t>install approach performed during home energy audits</w:t>
      </w:r>
      <w:r>
        <w:rPr>
          <w:rStyle w:val="FootnoteReference"/>
          <w:sz w:val="24"/>
          <w:szCs w:val="24"/>
        </w:rPr>
        <w:footnoteReference w:id="30"/>
      </w:r>
      <w:r>
        <w:rPr>
          <w:sz w:val="24"/>
          <w:szCs w:val="24"/>
        </w:rPr>
        <w:t xml:space="preserve"> or through consumer education campaigns. Like other measures, NMR assumes that long-term or short-term persistence could prove challenging if end-users find that power management settings are impacting their productivity</w:t>
      </w:r>
      <w:r w:rsidR="00BD28CF">
        <w:rPr>
          <w:sz w:val="24"/>
          <w:szCs w:val="24"/>
        </w:rPr>
        <w:t xml:space="preserve"> or ease of use.</w:t>
      </w:r>
    </w:p>
    <w:p w14:paraId="795A0E37" w14:textId="77777777" w:rsidR="00754453" w:rsidRDefault="00754453" w:rsidP="001A75FB">
      <w:pPr>
        <w:pStyle w:val="Caption"/>
        <w:keepLines/>
      </w:pPr>
      <w:bookmarkStart w:id="74" w:name="_Ref399069893"/>
      <w:bookmarkStart w:id="75" w:name="_Toc400007934"/>
      <w:r>
        <w:t xml:space="preserve">Table </w:t>
      </w:r>
      <w:fldSimple w:instr=" SEQ Table \* ARABIC ">
        <w:r w:rsidR="00302A02">
          <w:rPr>
            <w:noProof/>
          </w:rPr>
          <w:t>9</w:t>
        </w:r>
      </w:fldSimple>
      <w:bookmarkEnd w:id="74"/>
      <w:r>
        <w:t>: Estimated Technical Energy Savings Potential from Ideal Power Management on Installed Desktop PCs</w:t>
      </w:r>
      <w:bookmarkEnd w:id="75"/>
    </w:p>
    <w:tbl>
      <w:tblPr>
        <w:tblStyle w:val="TableGrid"/>
        <w:tblW w:w="0" w:type="auto"/>
        <w:jc w:val="center"/>
        <w:tblLook w:val="04A0" w:firstRow="1" w:lastRow="0" w:firstColumn="1" w:lastColumn="0" w:noHBand="0" w:noVBand="1"/>
      </w:tblPr>
      <w:tblGrid>
        <w:gridCol w:w="451"/>
        <w:gridCol w:w="4050"/>
        <w:gridCol w:w="1224"/>
        <w:gridCol w:w="1656"/>
        <w:gridCol w:w="2161"/>
      </w:tblGrid>
      <w:tr w:rsidR="00754453" w:rsidRPr="001B05A5" w14:paraId="796719DE" w14:textId="77777777" w:rsidTr="00237CC2">
        <w:trPr>
          <w:jc w:val="center"/>
        </w:trPr>
        <w:tc>
          <w:tcPr>
            <w:tcW w:w="451" w:type="dxa"/>
            <w:tcBorders>
              <w:top w:val="single" w:sz="12" w:space="0" w:color="000000" w:themeColor="text1"/>
              <w:left w:val="single" w:sz="12" w:space="0" w:color="000000" w:themeColor="text1"/>
              <w:bottom w:val="double" w:sz="4" w:space="0" w:color="auto"/>
            </w:tcBorders>
            <w:vAlign w:val="center"/>
          </w:tcPr>
          <w:p w14:paraId="0EE05C81" w14:textId="77777777" w:rsidR="00754453" w:rsidRDefault="00754453" w:rsidP="001A75FB">
            <w:pPr>
              <w:keepNext/>
              <w:keepLines/>
              <w:spacing w:after="0"/>
              <w:jc w:val="left"/>
              <w:rPr>
                <w:b/>
                <w:sz w:val="18"/>
                <w:szCs w:val="18"/>
              </w:rPr>
            </w:pPr>
          </w:p>
        </w:tc>
        <w:tc>
          <w:tcPr>
            <w:tcW w:w="4050" w:type="dxa"/>
            <w:tcBorders>
              <w:top w:val="single" w:sz="12" w:space="0" w:color="000000" w:themeColor="text1"/>
              <w:left w:val="single" w:sz="12" w:space="0" w:color="000000" w:themeColor="text1"/>
              <w:bottom w:val="double" w:sz="4" w:space="0" w:color="auto"/>
            </w:tcBorders>
            <w:vAlign w:val="center"/>
          </w:tcPr>
          <w:p w14:paraId="5049728A" w14:textId="77777777" w:rsidR="00754453" w:rsidRDefault="00754453" w:rsidP="001A75FB">
            <w:pPr>
              <w:keepNext/>
              <w:keepLines/>
              <w:spacing w:after="0"/>
              <w:jc w:val="center"/>
              <w:rPr>
                <w:b/>
                <w:sz w:val="18"/>
                <w:szCs w:val="18"/>
              </w:rPr>
            </w:pPr>
            <w:r>
              <w:rPr>
                <w:b/>
                <w:sz w:val="18"/>
                <w:szCs w:val="18"/>
              </w:rPr>
              <w:t>Element</w:t>
            </w:r>
          </w:p>
        </w:tc>
        <w:tc>
          <w:tcPr>
            <w:tcW w:w="1224" w:type="dxa"/>
            <w:tcBorders>
              <w:top w:val="single" w:sz="12" w:space="0" w:color="000000" w:themeColor="text1"/>
              <w:bottom w:val="double" w:sz="4" w:space="0" w:color="auto"/>
              <w:right w:val="single" w:sz="4" w:space="0" w:color="000000" w:themeColor="text1"/>
            </w:tcBorders>
            <w:vAlign w:val="center"/>
          </w:tcPr>
          <w:p w14:paraId="2CBC0262" w14:textId="77777777" w:rsidR="00754453" w:rsidRDefault="00754453" w:rsidP="001A75FB">
            <w:pPr>
              <w:keepNext/>
              <w:keepLines/>
              <w:spacing w:after="0"/>
              <w:jc w:val="center"/>
              <w:rPr>
                <w:b/>
                <w:sz w:val="18"/>
                <w:szCs w:val="18"/>
              </w:rPr>
            </w:pPr>
            <w:r>
              <w:rPr>
                <w:b/>
                <w:sz w:val="18"/>
                <w:szCs w:val="18"/>
              </w:rPr>
              <w:t>Amount</w:t>
            </w:r>
          </w:p>
        </w:tc>
        <w:tc>
          <w:tcPr>
            <w:tcW w:w="1656" w:type="dxa"/>
            <w:tcBorders>
              <w:top w:val="single" w:sz="12" w:space="0" w:color="000000" w:themeColor="text1"/>
              <w:left w:val="single" w:sz="4" w:space="0" w:color="000000" w:themeColor="text1"/>
              <w:bottom w:val="double" w:sz="4" w:space="0" w:color="auto"/>
            </w:tcBorders>
            <w:vAlign w:val="center"/>
          </w:tcPr>
          <w:p w14:paraId="43B432CE" w14:textId="77777777" w:rsidR="00754453" w:rsidRPr="001B05A5" w:rsidRDefault="00754453" w:rsidP="001A75FB">
            <w:pPr>
              <w:keepNext/>
              <w:keepLines/>
              <w:spacing w:after="0"/>
              <w:jc w:val="center"/>
              <w:rPr>
                <w:b/>
                <w:sz w:val="18"/>
                <w:szCs w:val="18"/>
              </w:rPr>
            </w:pPr>
            <w:r>
              <w:rPr>
                <w:b/>
                <w:sz w:val="18"/>
                <w:szCs w:val="18"/>
              </w:rPr>
              <w:t>Unit</w:t>
            </w:r>
          </w:p>
        </w:tc>
        <w:tc>
          <w:tcPr>
            <w:tcW w:w="2161" w:type="dxa"/>
            <w:tcBorders>
              <w:top w:val="single" w:sz="12" w:space="0" w:color="000000" w:themeColor="text1"/>
              <w:bottom w:val="double" w:sz="4" w:space="0" w:color="auto"/>
              <w:right w:val="single" w:sz="12" w:space="0" w:color="000000" w:themeColor="text1"/>
            </w:tcBorders>
            <w:vAlign w:val="center"/>
          </w:tcPr>
          <w:p w14:paraId="730DF46E" w14:textId="77777777" w:rsidR="00754453" w:rsidRDefault="00754453" w:rsidP="001A75FB">
            <w:pPr>
              <w:keepNext/>
              <w:keepLines/>
              <w:spacing w:after="0"/>
              <w:jc w:val="center"/>
              <w:rPr>
                <w:b/>
                <w:sz w:val="18"/>
                <w:szCs w:val="18"/>
              </w:rPr>
            </w:pPr>
            <w:r>
              <w:rPr>
                <w:b/>
                <w:sz w:val="18"/>
                <w:szCs w:val="18"/>
              </w:rPr>
              <w:t>Source</w:t>
            </w:r>
          </w:p>
        </w:tc>
      </w:tr>
      <w:tr w:rsidR="00754453" w:rsidRPr="001B05A5" w14:paraId="479E2D6E" w14:textId="77777777" w:rsidTr="00237CC2">
        <w:trPr>
          <w:jc w:val="center"/>
        </w:trPr>
        <w:tc>
          <w:tcPr>
            <w:tcW w:w="451" w:type="dxa"/>
            <w:tcBorders>
              <w:top w:val="double" w:sz="4" w:space="0" w:color="auto"/>
              <w:left w:val="single" w:sz="12" w:space="0" w:color="000000" w:themeColor="text1"/>
            </w:tcBorders>
            <w:vAlign w:val="center"/>
          </w:tcPr>
          <w:p w14:paraId="035847DF" w14:textId="77777777" w:rsidR="00754453" w:rsidRPr="001B05A5" w:rsidRDefault="00754453" w:rsidP="001A75FB">
            <w:pPr>
              <w:keepNext/>
              <w:keepLines/>
              <w:spacing w:after="0"/>
              <w:jc w:val="left"/>
              <w:rPr>
                <w:sz w:val="18"/>
                <w:szCs w:val="18"/>
              </w:rPr>
            </w:pPr>
            <w:r>
              <w:rPr>
                <w:sz w:val="18"/>
                <w:szCs w:val="18"/>
              </w:rPr>
              <w:t>A</w:t>
            </w:r>
          </w:p>
        </w:tc>
        <w:tc>
          <w:tcPr>
            <w:tcW w:w="4050" w:type="dxa"/>
            <w:tcBorders>
              <w:top w:val="double" w:sz="4" w:space="0" w:color="auto"/>
              <w:left w:val="single" w:sz="12" w:space="0" w:color="000000" w:themeColor="text1"/>
            </w:tcBorders>
            <w:vAlign w:val="center"/>
          </w:tcPr>
          <w:p w14:paraId="6CC9F0FA" w14:textId="77777777" w:rsidR="00754453" w:rsidRPr="00637E98" w:rsidRDefault="00754453" w:rsidP="001A75FB">
            <w:pPr>
              <w:keepNext/>
              <w:keepLines/>
              <w:spacing w:after="0"/>
              <w:jc w:val="left"/>
              <w:rPr>
                <w:rFonts w:cs="Times New Roman"/>
                <w:color w:val="000000"/>
                <w:sz w:val="18"/>
                <w:szCs w:val="18"/>
              </w:rPr>
            </w:pPr>
            <w:r>
              <w:rPr>
                <w:rFonts w:cs="Times New Roman"/>
                <w:color w:val="000000"/>
                <w:sz w:val="18"/>
                <w:szCs w:val="18"/>
              </w:rPr>
              <w:t>Number of Households (HH) in Connecticut</w:t>
            </w:r>
          </w:p>
        </w:tc>
        <w:tc>
          <w:tcPr>
            <w:tcW w:w="1224" w:type="dxa"/>
            <w:tcBorders>
              <w:top w:val="double" w:sz="4" w:space="0" w:color="auto"/>
              <w:right w:val="single" w:sz="4" w:space="0" w:color="000000" w:themeColor="text1"/>
            </w:tcBorders>
            <w:vAlign w:val="center"/>
          </w:tcPr>
          <w:p w14:paraId="1A2EA527"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1</w:t>
            </w:r>
            <w:r>
              <w:rPr>
                <w:rFonts w:cs="Times New Roman"/>
                <w:color w:val="000000"/>
                <w:sz w:val="18"/>
                <w:szCs w:val="18"/>
              </w:rPr>
              <w:t>.4 Million</w:t>
            </w:r>
          </w:p>
        </w:tc>
        <w:tc>
          <w:tcPr>
            <w:tcW w:w="1656" w:type="dxa"/>
            <w:tcBorders>
              <w:top w:val="double" w:sz="4" w:space="0" w:color="auto"/>
              <w:left w:val="single" w:sz="4" w:space="0" w:color="000000" w:themeColor="text1"/>
            </w:tcBorders>
            <w:vAlign w:val="center"/>
          </w:tcPr>
          <w:p w14:paraId="0A82863D"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Households</w:t>
            </w:r>
          </w:p>
        </w:tc>
        <w:tc>
          <w:tcPr>
            <w:tcW w:w="2161" w:type="dxa"/>
            <w:tcBorders>
              <w:top w:val="double" w:sz="4" w:space="0" w:color="auto"/>
              <w:right w:val="single" w:sz="12" w:space="0" w:color="000000" w:themeColor="text1"/>
            </w:tcBorders>
            <w:vAlign w:val="center"/>
          </w:tcPr>
          <w:p w14:paraId="4C64870F"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USCB</w:t>
            </w:r>
          </w:p>
        </w:tc>
      </w:tr>
      <w:tr w:rsidR="00754453" w:rsidRPr="001B05A5" w14:paraId="22164651" w14:textId="77777777" w:rsidTr="00237CC2">
        <w:trPr>
          <w:jc w:val="center"/>
        </w:trPr>
        <w:tc>
          <w:tcPr>
            <w:tcW w:w="451" w:type="dxa"/>
            <w:tcBorders>
              <w:left w:val="single" w:sz="12" w:space="0" w:color="000000" w:themeColor="text1"/>
            </w:tcBorders>
            <w:vAlign w:val="center"/>
          </w:tcPr>
          <w:p w14:paraId="1A41ACC8" w14:textId="77777777" w:rsidR="00754453" w:rsidRPr="001B05A5" w:rsidRDefault="00754453" w:rsidP="001A75FB">
            <w:pPr>
              <w:keepNext/>
              <w:keepLines/>
              <w:spacing w:after="0"/>
              <w:jc w:val="left"/>
              <w:rPr>
                <w:sz w:val="18"/>
                <w:szCs w:val="18"/>
              </w:rPr>
            </w:pPr>
            <w:r>
              <w:rPr>
                <w:sz w:val="18"/>
                <w:szCs w:val="18"/>
              </w:rPr>
              <w:t>B</w:t>
            </w:r>
          </w:p>
        </w:tc>
        <w:tc>
          <w:tcPr>
            <w:tcW w:w="4050" w:type="dxa"/>
            <w:tcBorders>
              <w:left w:val="single" w:sz="12" w:space="0" w:color="000000" w:themeColor="text1"/>
            </w:tcBorders>
            <w:vAlign w:val="center"/>
          </w:tcPr>
          <w:p w14:paraId="648E23A2" w14:textId="77777777" w:rsidR="00754453" w:rsidRPr="00637E98" w:rsidRDefault="00754453" w:rsidP="001A75FB">
            <w:pPr>
              <w:keepNext/>
              <w:keepLines/>
              <w:spacing w:after="0"/>
              <w:jc w:val="left"/>
              <w:rPr>
                <w:rFonts w:cs="Times New Roman"/>
                <w:color w:val="000000"/>
                <w:sz w:val="18"/>
                <w:szCs w:val="18"/>
              </w:rPr>
            </w:pPr>
            <w:r>
              <w:rPr>
                <w:rFonts w:cs="Times New Roman"/>
                <w:color w:val="000000"/>
                <w:sz w:val="18"/>
                <w:szCs w:val="18"/>
              </w:rPr>
              <w:t xml:space="preserve">Average </w:t>
            </w:r>
            <w:r w:rsidRPr="00637E98">
              <w:rPr>
                <w:rFonts w:cs="Times New Roman"/>
                <w:color w:val="000000"/>
                <w:sz w:val="18"/>
                <w:szCs w:val="18"/>
              </w:rPr>
              <w:t>Number of Desktop</w:t>
            </w:r>
            <w:r>
              <w:rPr>
                <w:rFonts w:cs="Times New Roman"/>
                <w:color w:val="000000"/>
                <w:sz w:val="18"/>
                <w:szCs w:val="18"/>
              </w:rPr>
              <w:t xml:space="preserve"> Unit</w:t>
            </w:r>
            <w:r w:rsidRPr="00637E98">
              <w:rPr>
                <w:rFonts w:cs="Times New Roman"/>
                <w:color w:val="000000"/>
                <w:sz w:val="18"/>
                <w:szCs w:val="18"/>
              </w:rPr>
              <w:t xml:space="preserve">s per </w:t>
            </w:r>
            <w:r>
              <w:rPr>
                <w:rFonts w:cs="Times New Roman"/>
                <w:color w:val="000000"/>
                <w:sz w:val="18"/>
                <w:szCs w:val="18"/>
              </w:rPr>
              <w:t>HH in Massachusetts</w:t>
            </w:r>
          </w:p>
        </w:tc>
        <w:tc>
          <w:tcPr>
            <w:tcW w:w="1224" w:type="dxa"/>
            <w:tcBorders>
              <w:right w:val="single" w:sz="4" w:space="0" w:color="000000" w:themeColor="text1"/>
            </w:tcBorders>
            <w:vAlign w:val="center"/>
          </w:tcPr>
          <w:p w14:paraId="3BF9F9C9"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0.5</w:t>
            </w:r>
          </w:p>
        </w:tc>
        <w:tc>
          <w:tcPr>
            <w:tcW w:w="1656" w:type="dxa"/>
            <w:tcBorders>
              <w:left w:val="single" w:sz="4" w:space="0" w:color="000000" w:themeColor="text1"/>
            </w:tcBorders>
            <w:vAlign w:val="center"/>
          </w:tcPr>
          <w:p w14:paraId="7FF05820"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Desktop Units/HH</w:t>
            </w:r>
          </w:p>
        </w:tc>
        <w:tc>
          <w:tcPr>
            <w:tcW w:w="2161" w:type="dxa"/>
            <w:tcBorders>
              <w:right w:val="single" w:sz="12" w:space="0" w:color="000000" w:themeColor="text1"/>
            </w:tcBorders>
            <w:vAlign w:val="center"/>
          </w:tcPr>
          <w:p w14:paraId="4271C819" w14:textId="77777777" w:rsidR="00754453" w:rsidRPr="00637E98" w:rsidRDefault="00754453" w:rsidP="001A75FB">
            <w:pPr>
              <w:keepNext/>
              <w:keepLines/>
              <w:spacing w:after="0"/>
              <w:jc w:val="center"/>
              <w:rPr>
                <w:rFonts w:cs="Times New Roman"/>
                <w:color w:val="000000"/>
                <w:sz w:val="18"/>
                <w:szCs w:val="18"/>
              </w:rPr>
            </w:pPr>
            <w:r>
              <w:rPr>
                <w:rFonts w:cs="Times New Roman"/>
                <w:color w:val="000000"/>
                <w:sz w:val="18"/>
                <w:szCs w:val="18"/>
              </w:rPr>
              <w:t>NMR (2012 Saturation Study)</w:t>
            </w:r>
          </w:p>
        </w:tc>
      </w:tr>
      <w:tr w:rsidR="00754453" w:rsidRPr="001B05A5" w14:paraId="7D312A8F" w14:textId="77777777" w:rsidTr="00237CC2">
        <w:trPr>
          <w:jc w:val="center"/>
        </w:trPr>
        <w:tc>
          <w:tcPr>
            <w:tcW w:w="451" w:type="dxa"/>
            <w:tcBorders>
              <w:left w:val="single" w:sz="12" w:space="0" w:color="000000" w:themeColor="text1"/>
            </w:tcBorders>
            <w:vAlign w:val="center"/>
          </w:tcPr>
          <w:p w14:paraId="4B946618" w14:textId="77777777" w:rsidR="00754453" w:rsidRDefault="00754453" w:rsidP="001A75FB">
            <w:pPr>
              <w:keepNext/>
              <w:keepLines/>
              <w:spacing w:after="0"/>
              <w:jc w:val="left"/>
              <w:rPr>
                <w:sz w:val="18"/>
                <w:szCs w:val="18"/>
              </w:rPr>
            </w:pPr>
            <w:r>
              <w:rPr>
                <w:sz w:val="18"/>
                <w:szCs w:val="18"/>
              </w:rPr>
              <w:t>C</w:t>
            </w:r>
          </w:p>
        </w:tc>
        <w:tc>
          <w:tcPr>
            <w:tcW w:w="4050" w:type="dxa"/>
            <w:tcBorders>
              <w:left w:val="single" w:sz="12" w:space="0" w:color="000000" w:themeColor="text1"/>
            </w:tcBorders>
            <w:vAlign w:val="center"/>
          </w:tcPr>
          <w:p w14:paraId="171D8A4D" w14:textId="77777777" w:rsidR="00754453" w:rsidRPr="00637E98" w:rsidRDefault="00754453" w:rsidP="001A75FB">
            <w:pPr>
              <w:keepNext/>
              <w:keepLines/>
              <w:spacing w:after="0"/>
              <w:jc w:val="left"/>
              <w:rPr>
                <w:rFonts w:cs="Times New Roman"/>
                <w:color w:val="000000"/>
                <w:sz w:val="18"/>
                <w:szCs w:val="18"/>
              </w:rPr>
            </w:pPr>
            <w:r>
              <w:rPr>
                <w:rFonts w:cs="Times New Roman"/>
                <w:color w:val="000000"/>
                <w:sz w:val="18"/>
                <w:szCs w:val="18"/>
              </w:rPr>
              <w:t>Total Desktop Units in Connecticut</w:t>
            </w:r>
          </w:p>
        </w:tc>
        <w:tc>
          <w:tcPr>
            <w:tcW w:w="1224" w:type="dxa"/>
            <w:tcBorders>
              <w:right w:val="single" w:sz="4" w:space="0" w:color="000000" w:themeColor="text1"/>
            </w:tcBorders>
            <w:vAlign w:val="center"/>
          </w:tcPr>
          <w:p w14:paraId="634F6ECF"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669,930</w:t>
            </w:r>
          </w:p>
        </w:tc>
        <w:tc>
          <w:tcPr>
            <w:tcW w:w="1656" w:type="dxa"/>
            <w:tcBorders>
              <w:left w:val="single" w:sz="4" w:space="0" w:color="000000" w:themeColor="text1"/>
            </w:tcBorders>
            <w:vAlign w:val="center"/>
          </w:tcPr>
          <w:p w14:paraId="795AD5EF" w14:textId="77777777" w:rsidR="00754453" w:rsidRPr="00637E98" w:rsidRDefault="00754453" w:rsidP="001A75FB">
            <w:pPr>
              <w:keepNext/>
              <w:keepLines/>
              <w:spacing w:after="0"/>
              <w:jc w:val="center"/>
              <w:rPr>
                <w:rFonts w:cs="Times New Roman"/>
                <w:color w:val="000000"/>
                <w:sz w:val="18"/>
                <w:szCs w:val="18"/>
              </w:rPr>
            </w:pPr>
            <w:r w:rsidRPr="00637E98">
              <w:rPr>
                <w:rFonts w:cs="Times New Roman"/>
                <w:color w:val="000000"/>
                <w:sz w:val="18"/>
                <w:szCs w:val="18"/>
              </w:rPr>
              <w:t>Desktop Units</w:t>
            </w:r>
          </w:p>
        </w:tc>
        <w:tc>
          <w:tcPr>
            <w:tcW w:w="2161" w:type="dxa"/>
            <w:tcBorders>
              <w:right w:val="single" w:sz="12" w:space="0" w:color="000000" w:themeColor="text1"/>
            </w:tcBorders>
            <w:vAlign w:val="center"/>
          </w:tcPr>
          <w:p w14:paraId="2CCE30C1" w14:textId="77777777" w:rsidR="00754453" w:rsidRPr="00637E98" w:rsidRDefault="00754453" w:rsidP="001A75FB">
            <w:pPr>
              <w:keepNext/>
              <w:keepLines/>
              <w:spacing w:after="0"/>
              <w:jc w:val="center"/>
              <w:rPr>
                <w:rFonts w:cs="Times New Roman"/>
                <w:color w:val="000000"/>
                <w:sz w:val="18"/>
                <w:szCs w:val="18"/>
              </w:rPr>
            </w:pPr>
            <w:r>
              <w:rPr>
                <w:rFonts w:cs="Times New Roman"/>
                <w:color w:val="000000"/>
                <w:sz w:val="18"/>
                <w:szCs w:val="18"/>
              </w:rPr>
              <w:t>[A * B]</w:t>
            </w:r>
          </w:p>
        </w:tc>
      </w:tr>
      <w:tr w:rsidR="00754453" w:rsidRPr="001B05A5" w14:paraId="53E4607B" w14:textId="77777777" w:rsidTr="00237CC2">
        <w:trPr>
          <w:jc w:val="center"/>
        </w:trPr>
        <w:tc>
          <w:tcPr>
            <w:tcW w:w="451" w:type="dxa"/>
            <w:tcBorders>
              <w:left w:val="single" w:sz="12" w:space="0" w:color="000000" w:themeColor="text1"/>
            </w:tcBorders>
            <w:vAlign w:val="center"/>
          </w:tcPr>
          <w:p w14:paraId="623AB6F8"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D</w:t>
            </w:r>
          </w:p>
        </w:tc>
        <w:tc>
          <w:tcPr>
            <w:tcW w:w="4050" w:type="dxa"/>
            <w:tcBorders>
              <w:left w:val="single" w:sz="12" w:space="0" w:color="000000" w:themeColor="text1"/>
            </w:tcBorders>
            <w:vAlign w:val="center"/>
          </w:tcPr>
          <w:p w14:paraId="018A2E3A" w14:textId="77777777" w:rsidR="00754453" w:rsidRPr="001156D1" w:rsidRDefault="00754453" w:rsidP="001A75FB">
            <w:pPr>
              <w:keepNext/>
              <w:keepLines/>
              <w:spacing w:after="0"/>
              <w:jc w:val="left"/>
              <w:rPr>
                <w:rFonts w:cs="Times New Roman"/>
                <w:color w:val="000000"/>
                <w:sz w:val="18"/>
                <w:szCs w:val="18"/>
              </w:rPr>
            </w:pPr>
            <w:r w:rsidRPr="001156D1">
              <w:rPr>
                <w:rFonts w:cs="Times New Roman"/>
                <w:color w:val="000000"/>
                <w:sz w:val="18"/>
                <w:szCs w:val="18"/>
              </w:rPr>
              <w:t>Percentage of Desktop</w:t>
            </w:r>
            <w:r>
              <w:rPr>
                <w:rFonts w:cs="Times New Roman"/>
                <w:color w:val="000000"/>
                <w:sz w:val="18"/>
                <w:szCs w:val="18"/>
              </w:rPr>
              <w:t xml:space="preserve"> Units</w:t>
            </w:r>
            <w:r w:rsidRPr="001156D1">
              <w:rPr>
                <w:rFonts w:cs="Times New Roman"/>
                <w:color w:val="000000"/>
                <w:sz w:val="18"/>
                <w:szCs w:val="18"/>
              </w:rPr>
              <w:t xml:space="preserve"> without </w:t>
            </w:r>
            <w:r>
              <w:rPr>
                <w:rFonts w:cs="Times New Roman"/>
                <w:color w:val="000000"/>
                <w:sz w:val="18"/>
                <w:szCs w:val="18"/>
              </w:rPr>
              <w:t>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 xml:space="preserve">anagement </w:t>
            </w:r>
            <w:r>
              <w:rPr>
                <w:rFonts w:cs="Times New Roman"/>
                <w:color w:val="000000"/>
                <w:sz w:val="18"/>
                <w:szCs w:val="18"/>
              </w:rPr>
              <w:t>enabled in Massachusetts</w:t>
            </w:r>
          </w:p>
        </w:tc>
        <w:tc>
          <w:tcPr>
            <w:tcW w:w="1224" w:type="dxa"/>
            <w:tcBorders>
              <w:right w:val="single" w:sz="4" w:space="0" w:color="000000" w:themeColor="text1"/>
            </w:tcBorders>
            <w:vAlign w:val="center"/>
          </w:tcPr>
          <w:p w14:paraId="2D1C0A4A"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45%</w:t>
            </w:r>
          </w:p>
        </w:tc>
        <w:tc>
          <w:tcPr>
            <w:tcW w:w="1656" w:type="dxa"/>
            <w:tcBorders>
              <w:left w:val="single" w:sz="4" w:space="0" w:color="000000" w:themeColor="text1"/>
            </w:tcBorders>
            <w:vAlign w:val="center"/>
          </w:tcPr>
          <w:p w14:paraId="27C37A99"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Percent of Units</w:t>
            </w:r>
          </w:p>
        </w:tc>
        <w:tc>
          <w:tcPr>
            <w:tcW w:w="2161" w:type="dxa"/>
            <w:tcBorders>
              <w:right w:val="single" w:sz="12" w:space="0" w:color="000000" w:themeColor="text1"/>
            </w:tcBorders>
            <w:vAlign w:val="center"/>
          </w:tcPr>
          <w:p w14:paraId="11430A07"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Massachusetts 2012 Saturation Study</w:t>
            </w:r>
          </w:p>
        </w:tc>
      </w:tr>
      <w:tr w:rsidR="00754453" w:rsidRPr="001B05A5" w14:paraId="76E3DBF4" w14:textId="77777777" w:rsidTr="00237CC2">
        <w:trPr>
          <w:jc w:val="center"/>
        </w:trPr>
        <w:tc>
          <w:tcPr>
            <w:tcW w:w="451" w:type="dxa"/>
            <w:tcBorders>
              <w:left w:val="single" w:sz="12" w:space="0" w:color="000000" w:themeColor="text1"/>
            </w:tcBorders>
            <w:vAlign w:val="center"/>
          </w:tcPr>
          <w:p w14:paraId="7B563E23"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E</w:t>
            </w:r>
          </w:p>
        </w:tc>
        <w:tc>
          <w:tcPr>
            <w:tcW w:w="4050" w:type="dxa"/>
            <w:tcBorders>
              <w:left w:val="single" w:sz="12" w:space="0" w:color="000000" w:themeColor="text1"/>
            </w:tcBorders>
            <w:vAlign w:val="center"/>
          </w:tcPr>
          <w:p w14:paraId="369AB901" w14:textId="77777777" w:rsidR="00754453" w:rsidRPr="001156D1" w:rsidRDefault="00754453" w:rsidP="001A75FB">
            <w:pPr>
              <w:keepNext/>
              <w:keepLines/>
              <w:spacing w:after="0"/>
              <w:jc w:val="left"/>
              <w:rPr>
                <w:rFonts w:cs="Times New Roman"/>
                <w:color w:val="000000"/>
                <w:sz w:val="18"/>
                <w:szCs w:val="18"/>
              </w:rPr>
            </w:pPr>
            <w:r w:rsidRPr="001156D1">
              <w:rPr>
                <w:rFonts w:cs="Times New Roman"/>
                <w:color w:val="000000"/>
                <w:sz w:val="18"/>
                <w:szCs w:val="18"/>
              </w:rPr>
              <w:t xml:space="preserve">Total </w:t>
            </w:r>
            <w:r>
              <w:rPr>
                <w:rFonts w:cs="Times New Roman"/>
                <w:color w:val="000000"/>
                <w:sz w:val="18"/>
                <w:szCs w:val="18"/>
              </w:rPr>
              <w:t>Desktop Units</w:t>
            </w:r>
            <w:r w:rsidRPr="001156D1">
              <w:rPr>
                <w:rFonts w:cs="Times New Roman"/>
                <w:color w:val="000000"/>
                <w:sz w:val="18"/>
                <w:szCs w:val="18"/>
              </w:rPr>
              <w:t xml:space="preserve"> without </w:t>
            </w:r>
            <w:r>
              <w:rPr>
                <w:rFonts w:cs="Times New Roman"/>
                <w:color w:val="000000"/>
                <w:sz w:val="18"/>
                <w:szCs w:val="18"/>
              </w:rPr>
              <w:t>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 xml:space="preserve">anagement </w:t>
            </w:r>
            <w:r>
              <w:rPr>
                <w:rFonts w:cs="Times New Roman"/>
                <w:color w:val="000000"/>
                <w:sz w:val="18"/>
                <w:szCs w:val="18"/>
              </w:rPr>
              <w:t>enabled in Connecticut</w:t>
            </w:r>
          </w:p>
        </w:tc>
        <w:tc>
          <w:tcPr>
            <w:tcW w:w="1224" w:type="dxa"/>
            <w:tcBorders>
              <w:right w:val="single" w:sz="4" w:space="0" w:color="000000" w:themeColor="text1"/>
            </w:tcBorders>
            <w:vAlign w:val="center"/>
          </w:tcPr>
          <w:p w14:paraId="68B8319B"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301,469</w:t>
            </w:r>
          </w:p>
        </w:tc>
        <w:tc>
          <w:tcPr>
            <w:tcW w:w="1656" w:type="dxa"/>
            <w:tcBorders>
              <w:left w:val="single" w:sz="4" w:space="0" w:color="000000" w:themeColor="text1"/>
            </w:tcBorders>
            <w:vAlign w:val="center"/>
          </w:tcPr>
          <w:p w14:paraId="7D53E3C4"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Desktop Units</w:t>
            </w:r>
          </w:p>
        </w:tc>
        <w:tc>
          <w:tcPr>
            <w:tcW w:w="2161" w:type="dxa"/>
            <w:tcBorders>
              <w:right w:val="single" w:sz="12" w:space="0" w:color="000000" w:themeColor="text1"/>
            </w:tcBorders>
            <w:vAlign w:val="center"/>
          </w:tcPr>
          <w:p w14:paraId="1655DBF4"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[C * D]</w:t>
            </w:r>
          </w:p>
        </w:tc>
      </w:tr>
      <w:tr w:rsidR="00754453" w:rsidRPr="001B05A5" w14:paraId="35C19867" w14:textId="77777777" w:rsidTr="00237CC2">
        <w:trPr>
          <w:jc w:val="center"/>
        </w:trPr>
        <w:tc>
          <w:tcPr>
            <w:tcW w:w="451" w:type="dxa"/>
            <w:tcBorders>
              <w:left w:val="single" w:sz="12" w:space="0" w:color="000000" w:themeColor="text1"/>
            </w:tcBorders>
            <w:vAlign w:val="center"/>
          </w:tcPr>
          <w:p w14:paraId="1E7A2850"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F</w:t>
            </w:r>
          </w:p>
        </w:tc>
        <w:tc>
          <w:tcPr>
            <w:tcW w:w="4050" w:type="dxa"/>
            <w:tcBorders>
              <w:left w:val="single" w:sz="12" w:space="0" w:color="000000" w:themeColor="text1"/>
            </w:tcBorders>
            <w:vAlign w:val="center"/>
          </w:tcPr>
          <w:p w14:paraId="4F694487"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 xml:space="preserve">Average </w:t>
            </w:r>
            <w:r w:rsidRPr="001156D1">
              <w:rPr>
                <w:rFonts w:cs="Times New Roman"/>
                <w:color w:val="000000"/>
                <w:sz w:val="18"/>
                <w:szCs w:val="18"/>
              </w:rPr>
              <w:t>E</w:t>
            </w:r>
            <w:r>
              <w:rPr>
                <w:rFonts w:cs="Times New Roman"/>
                <w:color w:val="000000"/>
                <w:sz w:val="18"/>
                <w:szCs w:val="18"/>
              </w:rPr>
              <w:t>s</w:t>
            </w:r>
            <w:r w:rsidRPr="001156D1">
              <w:rPr>
                <w:rFonts w:cs="Times New Roman"/>
                <w:color w:val="000000"/>
                <w:sz w:val="18"/>
                <w:szCs w:val="18"/>
              </w:rPr>
              <w:t xml:space="preserve">timated Number of </w:t>
            </w:r>
            <w:r>
              <w:rPr>
                <w:rFonts w:cs="Times New Roman"/>
                <w:color w:val="000000"/>
                <w:sz w:val="18"/>
                <w:szCs w:val="18"/>
              </w:rPr>
              <w:t>D</w:t>
            </w:r>
            <w:r w:rsidRPr="001156D1">
              <w:rPr>
                <w:rFonts w:cs="Times New Roman"/>
                <w:color w:val="000000"/>
                <w:sz w:val="18"/>
                <w:szCs w:val="18"/>
              </w:rPr>
              <w:t>esktop</w:t>
            </w:r>
            <w:r>
              <w:rPr>
                <w:rFonts w:cs="Times New Roman"/>
                <w:color w:val="000000"/>
                <w:sz w:val="18"/>
                <w:szCs w:val="18"/>
              </w:rPr>
              <w:t xml:space="preserve"> Unit</w:t>
            </w:r>
            <w:r w:rsidRPr="001156D1">
              <w:rPr>
                <w:rFonts w:cs="Times New Roman"/>
                <w:color w:val="000000"/>
                <w:sz w:val="18"/>
                <w:szCs w:val="18"/>
              </w:rPr>
              <w:t xml:space="preserve">s </w:t>
            </w:r>
            <w:r w:rsidR="003E1542">
              <w:rPr>
                <w:rFonts w:cs="Times New Roman"/>
                <w:color w:val="000000"/>
                <w:sz w:val="18"/>
                <w:szCs w:val="18"/>
              </w:rPr>
              <w:t xml:space="preserve">with </w:t>
            </w:r>
            <w:r>
              <w:rPr>
                <w:rFonts w:cs="Times New Roman"/>
                <w:color w:val="000000"/>
                <w:sz w:val="18"/>
                <w:szCs w:val="18"/>
              </w:rPr>
              <w:t>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 xml:space="preserve">anagement </w:t>
            </w:r>
            <w:r>
              <w:rPr>
                <w:rFonts w:cs="Times New Roman"/>
                <w:color w:val="000000"/>
                <w:sz w:val="18"/>
                <w:szCs w:val="18"/>
              </w:rPr>
              <w:t>enabled per HH</w:t>
            </w:r>
          </w:p>
        </w:tc>
        <w:tc>
          <w:tcPr>
            <w:tcW w:w="1224" w:type="dxa"/>
            <w:tcBorders>
              <w:right w:val="single" w:sz="4" w:space="0" w:color="000000" w:themeColor="text1"/>
            </w:tcBorders>
            <w:vAlign w:val="center"/>
          </w:tcPr>
          <w:p w14:paraId="1476C31E"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0.2</w:t>
            </w:r>
          </w:p>
        </w:tc>
        <w:tc>
          <w:tcPr>
            <w:tcW w:w="1656" w:type="dxa"/>
            <w:tcBorders>
              <w:left w:val="single" w:sz="4" w:space="0" w:color="000000" w:themeColor="text1"/>
            </w:tcBorders>
            <w:vAlign w:val="center"/>
          </w:tcPr>
          <w:p w14:paraId="2B2801BC"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Desktop Units/HH</w:t>
            </w:r>
          </w:p>
        </w:tc>
        <w:tc>
          <w:tcPr>
            <w:tcW w:w="2161" w:type="dxa"/>
            <w:tcBorders>
              <w:right w:val="single" w:sz="12" w:space="0" w:color="000000" w:themeColor="text1"/>
            </w:tcBorders>
            <w:vAlign w:val="center"/>
          </w:tcPr>
          <w:p w14:paraId="38D746BD"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[E / A]</w:t>
            </w:r>
          </w:p>
        </w:tc>
      </w:tr>
      <w:tr w:rsidR="00754453" w:rsidRPr="001B05A5" w14:paraId="077E1A6D" w14:textId="77777777" w:rsidTr="00237CC2">
        <w:trPr>
          <w:jc w:val="center"/>
        </w:trPr>
        <w:tc>
          <w:tcPr>
            <w:tcW w:w="451" w:type="dxa"/>
            <w:tcBorders>
              <w:left w:val="single" w:sz="12" w:space="0" w:color="000000" w:themeColor="text1"/>
            </w:tcBorders>
            <w:vAlign w:val="center"/>
          </w:tcPr>
          <w:p w14:paraId="5F0075CB"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G</w:t>
            </w:r>
          </w:p>
        </w:tc>
        <w:tc>
          <w:tcPr>
            <w:tcW w:w="4050" w:type="dxa"/>
            <w:tcBorders>
              <w:left w:val="single" w:sz="12" w:space="0" w:color="000000" w:themeColor="text1"/>
            </w:tcBorders>
            <w:vAlign w:val="center"/>
          </w:tcPr>
          <w:p w14:paraId="2FB3C670"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 xml:space="preserve">Average </w:t>
            </w:r>
            <w:r w:rsidRPr="001156D1">
              <w:rPr>
                <w:rFonts w:cs="Times New Roman"/>
                <w:color w:val="000000"/>
                <w:sz w:val="18"/>
                <w:szCs w:val="18"/>
              </w:rPr>
              <w:t xml:space="preserve">Savings from </w:t>
            </w:r>
            <w:r>
              <w:rPr>
                <w:rFonts w:cs="Times New Roman"/>
                <w:color w:val="000000"/>
                <w:sz w:val="18"/>
                <w:szCs w:val="18"/>
              </w:rPr>
              <w:t>Enabling 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anagement</w:t>
            </w:r>
          </w:p>
        </w:tc>
        <w:tc>
          <w:tcPr>
            <w:tcW w:w="1224" w:type="dxa"/>
            <w:tcBorders>
              <w:right w:val="single" w:sz="4" w:space="0" w:color="000000" w:themeColor="text1"/>
            </w:tcBorders>
            <w:vAlign w:val="center"/>
          </w:tcPr>
          <w:p w14:paraId="1ED07A6D"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144</w:t>
            </w:r>
          </w:p>
        </w:tc>
        <w:tc>
          <w:tcPr>
            <w:tcW w:w="1656" w:type="dxa"/>
            <w:tcBorders>
              <w:left w:val="single" w:sz="4" w:space="0" w:color="000000" w:themeColor="text1"/>
            </w:tcBorders>
            <w:vAlign w:val="center"/>
          </w:tcPr>
          <w:p w14:paraId="3EF562DE"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kWh/year/unit</w:t>
            </w:r>
          </w:p>
        </w:tc>
        <w:tc>
          <w:tcPr>
            <w:tcW w:w="2161" w:type="dxa"/>
            <w:tcBorders>
              <w:right w:val="single" w:sz="12" w:space="0" w:color="000000" w:themeColor="text1"/>
            </w:tcBorders>
            <w:vAlign w:val="center"/>
          </w:tcPr>
          <w:p w14:paraId="66DEAC1F"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NEEA</w:t>
            </w:r>
          </w:p>
        </w:tc>
      </w:tr>
      <w:tr w:rsidR="00754453" w:rsidRPr="001B05A5" w14:paraId="678C4E37" w14:textId="77777777" w:rsidTr="00237CC2">
        <w:trPr>
          <w:jc w:val="center"/>
        </w:trPr>
        <w:tc>
          <w:tcPr>
            <w:tcW w:w="451" w:type="dxa"/>
            <w:tcBorders>
              <w:left w:val="single" w:sz="12" w:space="0" w:color="000000" w:themeColor="text1"/>
            </w:tcBorders>
            <w:vAlign w:val="center"/>
          </w:tcPr>
          <w:p w14:paraId="0BC87010"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H</w:t>
            </w:r>
          </w:p>
        </w:tc>
        <w:tc>
          <w:tcPr>
            <w:tcW w:w="4050" w:type="dxa"/>
            <w:tcBorders>
              <w:left w:val="single" w:sz="12" w:space="0" w:color="000000" w:themeColor="text1"/>
            </w:tcBorders>
            <w:vAlign w:val="center"/>
          </w:tcPr>
          <w:p w14:paraId="237FCC96"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Percentage Energy Savings from Enabling Power Management</w:t>
            </w:r>
          </w:p>
        </w:tc>
        <w:tc>
          <w:tcPr>
            <w:tcW w:w="1224" w:type="dxa"/>
            <w:tcBorders>
              <w:right w:val="single" w:sz="4" w:space="0" w:color="000000" w:themeColor="text1"/>
            </w:tcBorders>
            <w:vAlign w:val="center"/>
          </w:tcPr>
          <w:p w14:paraId="78D867DC" w14:textId="197D6A43" w:rsidR="00754453" w:rsidRPr="001156D1" w:rsidRDefault="0015267A" w:rsidP="001A75FB">
            <w:pPr>
              <w:keepNext/>
              <w:keepLines/>
              <w:spacing w:after="0"/>
              <w:jc w:val="center"/>
              <w:rPr>
                <w:rFonts w:cs="Times New Roman"/>
                <w:color w:val="000000"/>
                <w:sz w:val="18"/>
                <w:szCs w:val="18"/>
              </w:rPr>
            </w:pPr>
            <w:r>
              <w:rPr>
                <w:rFonts w:cs="Times New Roman"/>
                <w:color w:val="000000"/>
                <w:sz w:val="18"/>
                <w:szCs w:val="18"/>
              </w:rPr>
              <w:t>28</w:t>
            </w:r>
            <w:r w:rsidR="00754453" w:rsidRPr="001156D1">
              <w:rPr>
                <w:rFonts w:cs="Times New Roman"/>
                <w:color w:val="000000"/>
                <w:sz w:val="18"/>
                <w:szCs w:val="18"/>
              </w:rPr>
              <w:t>%</w:t>
            </w:r>
          </w:p>
        </w:tc>
        <w:tc>
          <w:tcPr>
            <w:tcW w:w="1656" w:type="dxa"/>
            <w:tcBorders>
              <w:left w:val="single" w:sz="4" w:space="0" w:color="000000" w:themeColor="text1"/>
            </w:tcBorders>
            <w:vAlign w:val="center"/>
          </w:tcPr>
          <w:p w14:paraId="21156D2B"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Percent Savings/unit</w:t>
            </w:r>
          </w:p>
        </w:tc>
        <w:tc>
          <w:tcPr>
            <w:tcW w:w="2161" w:type="dxa"/>
            <w:tcBorders>
              <w:right w:val="single" w:sz="12" w:space="0" w:color="000000" w:themeColor="text1"/>
            </w:tcBorders>
            <w:vAlign w:val="center"/>
          </w:tcPr>
          <w:p w14:paraId="4E09C30B" w14:textId="77777777" w:rsidR="00754453" w:rsidRPr="00B838D3" w:rsidRDefault="00754453" w:rsidP="001A75FB">
            <w:pPr>
              <w:keepNext/>
              <w:keepLines/>
              <w:spacing w:after="0"/>
              <w:jc w:val="center"/>
              <w:rPr>
                <w:rFonts w:cs="Times New Roman"/>
                <w:color w:val="000000"/>
                <w:sz w:val="18"/>
                <w:szCs w:val="18"/>
              </w:rPr>
            </w:pPr>
            <w:r>
              <w:rPr>
                <w:rFonts w:cs="Times New Roman"/>
                <w:color w:val="000000"/>
                <w:sz w:val="18"/>
                <w:szCs w:val="18"/>
              </w:rPr>
              <w:t xml:space="preserve">Extrapolated from </w:t>
            </w:r>
            <w:r w:rsidRPr="00B838D3">
              <w:rPr>
                <w:rFonts w:cs="Times New Roman"/>
                <w:color w:val="000000"/>
                <w:sz w:val="18"/>
                <w:szCs w:val="18"/>
              </w:rPr>
              <w:t>NEEA</w:t>
            </w:r>
            <w:r>
              <w:rPr>
                <w:rFonts w:cs="Times New Roman"/>
                <w:color w:val="000000"/>
                <w:sz w:val="18"/>
                <w:szCs w:val="18"/>
              </w:rPr>
              <w:t xml:space="preserve"> (2012) </w:t>
            </w:r>
            <w:r w:rsidRPr="00B838D3">
              <w:rPr>
                <w:rFonts w:cs="Times New Roman"/>
                <w:color w:val="000000"/>
                <w:sz w:val="18"/>
                <w:szCs w:val="18"/>
              </w:rPr>
              <w:t>(</w:t>
            </w:r>
            <w:r w:rsidRPr="00B838D3">
              <w:rPr>
                <w:rFonts w:cs="Times New Roman"/>
                <w:color w:val="000000"/>
                <w:sz w:val="18"/>
                <w:szCs w:val="18"/>
              </w:rPr>
              <w:fldChar w:fldCharType="begin"/>
            </w:r>
            <w:r w:rsidRPr="00B838D3">
              <w:rPr>
                <w:rFonts w:cs="Times New Roman"/>
                <w:color w:val="000000"/>
                <w:sz w:val="18"/>
                <w:szCs w:val="18"/>
              </w:rPr>
              <w:instrText xml:space="preserve"> REF _Ref398976549 \h </w:instrText>
            </w:r>
            <w:r>
              <w:rPr>
                <w:rFonts w:cs="Times New Roman"/>
                <w:color w:val="000000"/>
                <w:sz w:val="18"/>
                <w:szCs w:val="18"/>
              </w:rPr>
              <w:instrText xml:space="preserve"> \* MERGEFORMAT </w:instrText>
            </w:r>
            <w:r w:rsidRPr="00B838D3">
              <w:rPr>
                <w:rFonts w:cs="Times New Roman"/>
                <w:color w:val="000000"/>
                <w:sz w:val="18"/>
                <w:szCs w:val="18"/>
              </w:rPr>
            </w:r>
            <w:r w:rsidRPr="00B838D3">
              <w:rPr>
                <w:rFonts w:cs="Times New Roman"/>
                <w:color w:val="000000"/>
                <w:sz w:val="18"/>
                <w:szCs w:val="18"/>
              </w:rPr>
              <w:fldChar w:fldCharType="separate"/>
            </w:r>
            <w:r w:rsidR="00302A02" w:rsidRPr="00302A02">
              <w:rPr>
                <w:sz w:val="18"/>
                <w:szCs w:val="18"/>
              </w:rPr>
              <w:t xml:space="preserve">Table </w:t>
            </w:r>
            <w:r w:rsidR="00302A02" w:rsidRPr="00302A02">
              <w:rPr>
                <w:noProof/>
                <w:sz w:val="18"/>
                <w:szCs w:val="18"/>
              </w:rPr>
              <w:t>5</w:t>
            </w:r>
            <w:r w:rsidRPr="00B838D3">
              <w:rPr>
                <w:rFonts w:cs="Times New Roman"/>
                <w:color w:val="000000"/>
                <w:sz w:val="18"/>
                <w:szCs w:val="18"/>
              </w:rPr>
              <w:fldChar w:fldCharType="end"/>
            </w:r>
            <w:r w:rsidRPr="00B838D3">
              <w:rPr>
                <w:rFonts w:cs="Times New Roman"/>
                <w:color w:val="000000"/>
                <w:sz w:val="18"/>
                <w:szCs w:val="18"/>
              </w:rPr>
              <w:t>)</w:t>
            </w:r>
          </w:p>
        </w:tc>
      </w:tr>
      <w:tr w:rsidR="00754453" w:rsidRPr="001B05A5" w14:paraId="29F11175" w14:textId="77777777" w:rsidTr="00237CC2">
        <w:trPr>
          <w:jc w:val="center"/>
        </w:trPr>
        <w:tc>
          <w:tcPr>
            <w:tcW w:w="451" w:type="dxa"/>
            <w:tcBorders>
              <w:left w:val="single" w:sz="12" w:space="0" w:color="000000" w:themeColor="text1"/>
            </w:tcBorders>
            <w:vAlign w:val="center"/>
          </w:tcPr>
          <w:p w14:paraId="0CA1904A"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I</w:t>
            </w:r>
          </w:p>
        </w:tc>
        <w:tc>
          <w:tcPr>
            <w:tcW w:w="4050" w:type="dxa"/>
            <w:tcBorders>
              <w:left w:val="single" w:sz="12" w:space="0" w:color="000000" w:themeColor="text1"/>
            </w:tcBorders>
            <w:vAlign w:val="center"/>
          </w:tcPr>
          <w:p w14:paraId="2D292779"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 xml:space="preserve">Average Desktop Energy Consumption </w:t>
            </w:r>
            <w:r w:rsidRPr="001156D1">
              <w:rPr>
                <w:rFonts w:cs="Times New Roman"/>
                <w:color w:val="000000"/>
                <w:sz w:val="18"/>
                <w:szCs w:val="18"/>
              </w:rPr>
              <w:t xml:space="preserve">without </w:t>
            </w:r>
            <w:r>
              <w:rPr>
                <w:rFonts w:cs="Times New Roman"/>
                <w:color w:val="000000"/>
                <w:sz w:val="18"/>
                <w:szCs w:val="18"/>
              </w:rPr>
              <w:t>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 xml:space="preserve">anagement </w:t>
            </w:r>
            <w:r>
              <w:rPr>
                <w:rFonts w:cs="Times New Roman"/>
                <w:color w:val="000000"/>
                <w:sz w:val="18"/>
                <w:szCs w:val="18"/>
              </w:rPr>
              <w:t>Enabled</w:t>
            </w:r>
          </w:p>
        </w:tc>
        <w:tc>
          <w:tcPr>
            <w:tcW w:w="1224" w:type="dxa"/>
            <w:tcBorders>
              <w:right w:val="single" w:sz="4" w:space="0" w:color="000000" w:themeColor="text1"/>
            </w:tcBorders>
            <w:vAlign w:val="center"/>
          </w:tcPr>
          <w:p w14:paraId="1EDC1677" w14:textId="7B6245A8" w:rsidR="00754453" w:rsidRPr="001156D1" w:rsidRDefault="0015267A" w:rsidP="001A75FB">
            <w:pPr>
              <w:keepNext/>
              <w:keepLines/>
              <w:spacing w:after="0"/>
              <w:jc w:val="center"/>
              <w:rPr>
                <w:rFonts w:cs="Times New Roman"/>
                <w:color w:val="000000"/>
                <w:sz w:val="18"/>
                <w:szCs w:val="18"/>
              </w:rPr>
            </w:pPr>
            <w:r>
              <w:rPr>
                <w:rFonts w:cs="Times New Roman"/>
                <w:color w:val="000000"/>
                <w:sz w:val="18"/>
                <w:szCs w:val="18"/>
              </w:rPr>
              <w:t>513</w:t>
            </w:r>
          </w:p>
        </w:tc>
        <w:tc>
          <w:tcPr>
            <w:tcW w:w="1656" w:type="dxa"/>
            <w:tcBorders>
              <w:left w:val="single" w:sz="4" w:space="0" w:color="000000" w:themeColor="text1"/>
            </w:tcBorders>
            <w:vAlign w:val="center"/>
          </w:tcPr>
          <w:p w14:paraId="7C568DF9"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kWh/year/unit</w:t>
            </w:r>
          </w:p>
        </w:tc>
        <w:tc>
          <w:tcPr>
            <w:tcW w:w="2161" w:type="dxa"/>
            <w:tcBorders>
              <w:right w:val="single" w:sz="12" w:space="0" w:color="000000" w:themeColor="text1"/>
            </w:tcBorders>
            <w:vAlign w:val="center"/>
          </w:tcPr>
          <w:p w14:paraId="1F9172E2"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[G / H]</w:t>
            </w:r>
          </w:p>
        </w:tc>
      </w:tr>
      <w:tr w:rsidR="00754453" w:rsidRPr="001B05A5" w14:paraId="1855E6C0" w14:textId="77777777" w:rsidTr="00237CC2">
        <w:trPr>
          <w:jc w:val="center"/>
        </w:trPr>
        <w:tc>
          <w:tcPr>
            <w:tcW w:w="451" w:type="dxa"/>
            <w:tcBorders>
              <w:left w:val="single" w:sz="12" w:space="0" w:color="000000" w:themeColor="text1"/>
            </w:tcBorders>
            <w:vAlign w:val="center"/>
          </w:tcPr>
          <w:p w14:paraId="203788AD"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J</w:t>
            </w:r>
          </w:p>
        </w:tc>
        <w:tc>
          <w:tcPr>
            <w:tcW w:w="4050" w:type="dxa"/>
            <w:tcBorders>
              <w:left w:val="single" w:sz="12" w:space="0" w:color="000000" w:themeColor="text1"/>
            </w:tcBorders>
            <w:vAlign w:val="center"/>
          </w:tcPr>
          <w:p w14:paraId="0D832027" w14:textId="77777777" w:rsidR="00754453" w:rsidRPr="001156D1" w:rsidRDefault="00754453" w:rsidP="001A75FB">
            <w:pPr>
              <w:keepNext/>
              <w:keepLines/>
              <w:spacing w:after="0"/>
              <w:jc w:val="left"/>
              <w:rPr>
                <w:rFonts w:cs="Times New Roman"/>
                <w:color w:val="000000"/>
                <w:sz w:val="18"/>
                <w:szCs w:val="18"/>
              </w:rPr>
            </w:pPr>
            <w:r w:rsidRPr="001156D1">
              <w:rPr>
                <w:rFonts w:cs="Times New Roman"/>
                <w:color w:val="000000"/>
                <w:sz w:val="18"/>
                <w:szCs w:val="18"/>
              </w:rPr>
              <w:t xml:space="preserve">Total </w:t>
            </w:r>
            <w:r>
              <w:rPr>
                <w:rFonts w:cs="Times New Roman"/>
                <w:color w:val="000000"/>
                <w:sz w:val="18"/>
                <w:szCs w:val="18"/>
              </w:rPr>
              <w:t>Desktop PC Energy Consumption with P</w:t>
            </w:r>
            <w:r w:rsidRPr="001156D1">
              <w:rPr>
                <w:rFonts w:cs="Times New Roman"/>
                <w:color w:val="000000"/>
                <w:sz w:val="18"/>
                <w:szCs w:val="18"/>
              </w:rPr>
              <w:t xml:space="preserve">ower </w:t>
            </w:r>
            <w:r>
              <w:rPr>
                <w:rFonts w:cs="Times New Roman"/>
                <w:color w:val="000000"/>
                <w:sz w:val="18"/>
                <w:szCs w:val="18"/>
              </w:rPr>
              <w:t>M</w:t>
            </w:r>
            <w:r w:rsidRPr="001156D1">
              <w:rPr>
                <w:rFonts w:cs="Times New Roman"/>
                <w:color w:val="000000"/>
                <w:sz w:val="18"/>
                <w:szCs w:val="18"/>
              </w:rPr>
              <w:t xml:space="preserve">anagement </w:t>
            </w:r>
            <w:r>
              <w:rPr>
                <w:rFonts w:cs="Times New Roman"/>
                <w:color w:val="000000"/>
                <w:sz w:val="18"/>
                <w:szCs w:val="18"/>
              </w:rPr>
              <w:t>Enabled in Connecticut</w:t>
            </w:r>
          </w:p>
        </w:tc>
        <w:tc>
          <w:tcPr>
            <w:tcW w:w="1224" w:type="dxa"/>
            <w:tcBorders>
              <w:right w:val="single" w:sz="4" w:space="0" w:color="000000" w:themeColor="text1"/>
            </w:tcBorders>
            <w:vAlign w:val="center"/>
          </w:tcPr>
          <w:p w14:paraId="7A7540B2" w14:textId="04173C84" w:rsidR="00754453" w:rsidRPr="001156D1" w:rsidRDefault="0015267A" w:rsidP="0015267A">
            <w:pPr>
              <w:keepNext/>
              <w:keepLines/>
              <w:spacing w:after="0"/>
              <w:jc w:val="center"/>
              <w:rPr>
                <w:rFonts w:cs="Times New Roman"/>
                <w:color w:val="000000"/>
                <w:sz w:val="18"/>
                <w:szCs w:val="18"/>
              </w:rPr>
            </w:pPr>
            <w:r>
              <w:rPr>
                <w:rFonts w:cs="Times New Roman"/>
                <w:color w:val="000000"/>
                <w:sz w:val="18"/>
                <w:szCs w:val="18"/>
              </w:rPr>
              <w:t xml:space="preserve">155 </w:t>
            </w:r>
            <w:r w:rsidR="00754453">
              <w:rPr>
                <w:rFonts w:cs="Times New Roman"/>
                <w:color w:val="000000"/>
                <w:sz w:val="18"/>
                <w:szCs w:val="18"/>
              </w:rPr>
              <w:t>Million</w:t>
            </w:r>
          </w:p>
        </w:tc>
        <w:tc>
          <w:tcPr>
            <w:tcW w:w="1656" w:type="dxa"/>
            <w:tcBorders>
              <w:left w:val="single" w:sz="4" w:space="0" w:color="000000" w:themeColor="text1"/>
            </w:tcBorders>
            <w:vAlign w:val="center"/>
          </w:tcPr>
          <w:p w14:paraId="7F3FE645" w14:textId="77777777" w:rsidR="00754453" w:rsidRPr="001156D1" w:rsidRDefault="00754453" w:rsidP="001A75FB">
            <w:pPr>
              <w:keepNext/>
              <w:keepLines/>
              <w:spacing w:after="0"/>
              <w:jc w:val="center"/>
              <w:rPr>
                <w:rFonts w:cs="Times New Roman"/>
                <w:color w:val="000000"/>
                <w:sz w:val="18"/>
                <w:szCs w:val="18"/>
              </w:rPr>
            </w:pPr>
            <w:r w:rsidRPr="001156D1">
              <w:rPr>
                <w:rFonts w:cs="Times New Roman"/>
                <w:color w:val="000000"/>
                <w:sz w:val="18"/>
                <w:szCs w:val="18"/>
              </w:rPr>
              <w:t>kWh/year</w:t>
            </w:r>
          </w:p>
        </w:tc>
        <w:tc>
          <w:tcPr>
            <w:tcW w:w="2161" w:type="dxa"/>
            <w:tcBorders>
              <w:right w:val="single" w:sz="12" w:space="0" w:color="000000" w:themeColor="text1"/>
            </w:tcBorders>
            <w:vAlign w:val="center"/>
          </w:tcPr>
          <w:p w14:paraId="5171DDC6"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[E * I]</w:t>
            </w:r>
          </w:p>
        </w:tc>
      </w:tr>
      <w:tr w:rsidR="00754453" w:rsidRPr="001B05A5" w14:paraId="067D7AEA" w14:textId="77777777" w:rsidTr="00237CC2">
        <w:trPr>
          <w:jc w:val="center"/>
        </w:trPr>
        <w:tc>
          <w:tcPr>
            <w:tcW w:w="451" w:type="dxa"/>
            <w:tcBorders>
              <w:left w:val="single" w:sz="12" w:space="0" w:color="000000" w:themeColor="text1"/>
            </w:tcBorders>
            <w:vAlign w:val="center"/>
          </w:tcPr>
          <w:p w14:paraId="328203DB" w14:textId="77777777" w:rsidR="00754453" w:rsidRDefault="00754453" w:rsidP="001A75FB">
            <w:pPr>
              <w:keepNext/>
              <w:keepLines/>
              <w:spacing w:after="0"/>
              <w:jc w:val="left"/>
              <w:rPr>
                <w:rFonts w:cs="Times New Roman"/>
                <w:color w:val="000000"/>
                <w:sz w:val="18"/>
                <w:szCs w:val="18"/>
              </w:rPr>
            </w:pPr>
            <w:r>
              <w:rPr>
                <w:rFonts w:cs="Times New Roman"/>
                <w:color w:val="000000"/>
                <w:sz w:val="18"/>
                <w:szCs w:val="18"/>
              </w:rPr>
              <w:t>K</w:t>
            </w:r>
          </w:p>
        </w:tc>
        <w:tc>
          <w:tcPr>
            <w:tcW w:w="4050" w:type="dxa"/>
            <w:tcBorders>
              <w:left w:val="single" w:sz="12" w:space="0" w:color="000000" w:themeColor="text1"/>
            </w:tcBorders>
            <w:vAlign w:val="center"/>
          </w:tcPr>
          <w:p w14:paraId="40DAB390"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Technical Potential Savings in Connecticut</w:t>
            </w:r>
          </w:p>
        </w:tc>
        <w:tc>
          <w:tcPr>
            <w:tcW w:w="1224" w:type="dxa"/>
            <w:tcBorders>
              <w:right w:val="single" w:sz="4" w:space="0" w:color="000000" w:themeColor="text1"/>
            </w:tcBorders>
            <w:vAlign w:val="center"/>
          </w:tcPr>
          <w:p w14:paraId="21276E56" w14:textId="77777777" w:rsidR="00754453" w:rsidRDefault="00754453" w:rsidP="001A75FB">
            <w:pPr>
              <w:keepNext/>
              <w:keepLines/>
              <w:spacing w:after="0"/>
              <w:jc w:val="center"/>
              <w:rPr>
                <w:rFonts w:cs="Times New Roman"/>
                <w:color w:val="000000"/>
                <w:sz w:val="18"/>
                <w:szCs w:val="18"/>
              </w:rPr>
            </w:pPr>
            <w:r>
              <w:rPr>
                <w:rFonts w:cs="Times New Roman"/>
                <w:color w:val="000000"/>
                <w:sz w:val="18"/>
                <w:szCs w:val="18"/>
              </w:rPr>
              <w:t>43 Million</w:t>
            </w:r>
          </w:p>
        </w:tc>
        <w:tc>
          <w:tcPr>
            <w:tcW w:w="1656" w:type="dxa"/>
            <w:tcBorders>
              <w:left w:val="single" w:sz="4" w:space="0" w:color="000000" w:themeColor="text1"/>
            </w:tcBorders>
            <w:vAlign w:val="center"/>
          </w:tcPr>
          <w:p w14:paraId="00C0969D"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kWh/year</w:t>
            </w:r>
          </w:p>
        </w:tc>
        <w:tc>
          <w:tcPr>
            <w:tcW w:w="2161" w:type="dxa"/>
            <w:tcBorders>
              <w:right w:val="single" w:sz="12" w:space="0" w:color="000000" w:themeColor="text1"/>
            </w:tcBorders>
            <w:vAlign w:val="center"/>
          </w:tcPr>
          <w:p w14:paraId="775EAF71" w14:textId="77777777" w:rsidR="00754453" w:rsidRDefault="00754453" w:rsidP="001A75FB">
            <w:pPr>
              <w:keepNext/>
              <w:keepLines/>
              <w:spacing w:after="0"/>
              <w:jc w:val="center"/>
              <w:rPr>
                <w:rFonts w:cs="Times New Roman"/>
                <w:color w:val="000000"/>
                <w:sz w:val="18"/>
                <w:szCs w:val="18"/>
              </w:rPr>
            </w:pPr>
            <w:r>
              <w:rPr>
                <w:rFonts w:cs="Times New Roman"/>
                <w:color w:val="000000"/>
                <w:sz w:val="18"/>
                <w:szCs w:val="18"/>
              </w:rPr>
              <w:t>[H * J]</w:t>
            </w:r>
          </w:p>
        </w:tc>
      </w:tr>
      <w:tr w:rsidR="00754453" w:rsidRPr="001B05A5" w14:paraId="77A783F4" w14:textId="77777777" w:rsidTr="00237CC2">
        <w:trPr>
          <w:jc w:val="center"/>
        </w:trPr>
        <w:tc>
          <w:tcPr>
            <w:tcW w:w="451" w:type="dxa"/>
            <w:tcBorders>
              <w:left w:val="single" w:sz="12" w:space="0" w:color="000000" w:themeColor="text1"/>
              <w:bottom w:val="single" w:sz="12" w:space="0" w:color="000000" w:themeColor="text1"/>
            </w:tcBorders>
            <w:vAlign w:val="center"/>
          </w:tcPr>
          <w:p w14:paraId="16E12193" w14:textId="77777777" w:rsidR="00754453" w:rsidRDefault="00754453" w:rsidP="001A75FB">
            <w:pPr>
              <w:keepNext/>
              <w:keepLines/>
              <w:spacing w:after="0"/>
              <w:jc w:val="left"/>
              <w:rPr>
                <w:rFonts w:cs="Times New Roman"/>
                <w:color w:val="000000"/>
                <w:sz w:val="18"/>
                <w:szCs w:val="18"/>
              </w:rPr>
            </w:pPr>
            <w:r>
              <w:rPr>
                <w:rFonts w:cs="Times New Roman"/>
                <w:color w:val="000000"/>
                <w:sz w:val="18"/>
                <w:szCs w:val="18"/>
              </w:rPr>
              <w:t>L</w:t>
            </w:r>
          </w:p>
        </w:tc>
        <w:tc>
          <w:tcPr>
            <w:tcW w:w="4050" w:type="dxa"/>
            <w:tcBorders>
              <w:left w:val="single" w:sz="12" w:space="0" w:color="000000" w:themeColor="text1"/>
              <w:bottom w:val="single" w:sz="12" w:space="0" w:color="000000" w:themeColor="text1"/>
            </w:tcBorders>
            <w:vAlign w:val="center"/>
          </w:tcPr>
          <w:p w14:paraId="55D1D194" w14:textId="77777777" w:rsidR="00754453" w:rsidRPr="001156D1" w:rsidRDefault="00754453" w:rsidP="001A75FB">
            <w:pPr>
              <w:keepNext/>
              <w:keepLines/>
              <w:spacing w:after="0"/>
              <w:jc w:val="left"/>
              <w:rPr>
                <w:rFonts w:cs="Times New Roman"/>
                <w:color w:val="000000"/>
                <w:sz w:val="18"/>
                <w:szCs w:val="18"/>
              </w:rPr>
            </w:pPr>
            <w:r>
              <w:rPr>
                <w:rFonts w:cs="Times New Roman"/>
                <w:color w:val="000000"/>
                <w:sz w:val="18"/>
                <w:szCs w:val="18"/>
              </w:rPr>
              <w:t>Average Technical Potential Savings per HH</w:t>
            </w:r>
          </w:p>
        </w:tc>
        <w:tc>
          <w:tcPr>
            <w:tcW w:w="1224" w:type="dxa"/>
            <w:tcBorders>
              <w:bottom w:val="single" w:sz="12" w:space="0" w:color="000000" w:themeColor="text1"/>
              <w:right w:val="single" w:sz="4" w:space="0" w:color="000000" w:themeColor="text1"/>
            </w:tcBorders>
            <w:vAlign w:val="center"/>
          </w:tcPr>
          <w:p w14:paraId="6D61F80D" w14:textId="77777777" w:rsidR="00754453" w:rsidRDefault="00754453" w:rsidP="001A75FB">
            <w:pPr>
              <w:keepNext/>
              <w:keepLines/>
              <w:spacing w:after="0"/>
              <w:jc w:val="center"/>
              <w:rPr>
                <w:rFonts w:cs="Times New Roman"/>
                <w:color w:val="000000"/>
                <w:sz w:val="18"/>
                <w:szCs w:val="18"/>
              </w:rPr>
            </w:pPr>
            <w:r>
              <w:rPr>
                <w:rFonts w:cs="Times New Roman"/>
                <w:color w:val="000000"/>
                <w:sz w:val="18"/>
                <w:szCs w:val="18"/>
              </w:rPr>
              <w:t>32</w:t>
            </w:r>
          </w:p>
        </w:tc>
        <w:tc>
          <w:tcPr>
            <w:tcW w:w="1656" w:type="dxa"/>
            <w:tcBorders>
              <w:left w:val="single" w:sz="4" w:space="0" w:color="000000" w:themeColor="text1"/>
              <w:bottom w:val="single" w:sz="12" w:space="0" w:color="000000" w:themeColor="text1"/>
            </w:tcBorders>
            <w:vAlign w:val="center"/>
          </w:tcPr>
          <w:p w14:paraId="6275EA08" w14:textId="77777777" w:rsidR="00754453" w:rsidRPr="001156D1" w:rsidRDefault="00754453" w:rsidP="001A75FB">
            <w:pPr>
              <w:keepNext/>
              <w:keepLines/>
              <w:spacing w:after="0"/>
              <w:jc w:val="center"/>
              <w:rPr>
                <w:rFonts w:cs="Times New Roman"/>
                <w:color w:val="000000"/>
                <w:sz w:val="18"/>
                <w:szCs w:val="18"/>
              </w:rPr>
            </w:pPr>
            <w:r>
              <w:rPr>
                <w:rFonts w:cs="Times New Roman"/>
                <w:color w:val="000000"/>
                <w:sz w:val="18"/>
                <w:szCs w:val="18"/>
              </w:rPr>
              <w:t>kWh/year/HH</w:t>
            </w:r>
          </w:p>
        </w:tc>
        <w:tc>
          <w:tcPr>
            <w:tcW w:w="2161" w:type="dxa"/>
            <w:tcBorders>
              <w:bottom w:val="single" w:sz="12" w:space="0" w:color="000000" w:themeColor="text1"/>
              <w:right w:val="single" w:sz="12" w:space="0" w:color="000000" w:themeColor="text1"/>
            </w:tcBorders>
            <w:vAlign w:val="center"/>
          </w:tcPr>
          <w:p w14:paraId="60A0108B" w14:textId="77777777" w:rsidR="00754453" w:rsidRDefault="00754453" w:rsidP="001A75FB">
            <w:pPr>
              <w:keepNext/>
              <w:keepLines/>
              <w:spacing w:after="0"/>
              <w:jc w:val="center"/>
              <w:rPr>
                <w:rFonts w:cs="Times New Roman"/>
                <w:color w:val="000000"/>
                <w:sz w:val="18"/>
                <w:szCs w:val="18"/>
              </w:rPr>
            </w:pPr>
            <w:r>
              <w:rPr>
                <w:rFonts w:cs="Times New Roman"/>
                <w:color w:val="000000"/>
                <w:sz w:val="18"/>
                <w:szCs w:val="18"/>
              </w:rPr>
              <w:t>[K / E]</w:t>
            </w:r>
          </w:p>
        </w:tc>
      </w:tr>
    </w:tbl>
    <w:p w14:paraId="707E1136" w14:textId="77777777" w:rsidR="00F537F1" w:rsidRPr="003E1542" w:rsidRDefault="00754453" w:rsidP="003E1542">
      <w:pPr>
        <w:spacing w:line="240" w:lineRule="auto"/>
        <w:rPr>
          <w:sz w:val="20"/>
          <w:szCs w:val="20"/>
        </w:rPr>
      </w:pPr>
      <w:r w:rsidRPr="003E1542">
        <w:rPr>
          <w:i/>
          <w:sz w:val="20"/>
          <w:szCs w:val="20"/>
        </w:rPr>
        <w:t>Sources</w:t>
      </w:r>
      <w:r w:rsidRPr="003E1542">
        <w:rPr>
          <w:sz w:val="20"/>
          <w:szCs w:val="20"/>
        </w:rPr>
        <w:t>: 1) NEEA. “Energy Savings Opportunities and Market Descriptions DDC42BF7F151</w:t>
      </w:r>
      <w:r w:rsidR="003E1542" w:rsidRPr="003E1542">
        <w:rPr>
          <w:sz w:val="20"/>
          <w:szCs w:val="20"/>
        </w:rPr>
        <w:t>.</w:t>
      </w:r>
      <w:r w:rsidRPr="003E1542">
        <w:rPr>
          <w:sz w:val="20"/>
          <w:szCs w:val="20"/>
        </w:rPr>
        <w:t xml:space="preserve">” 2) NMR. “Massachusetts Residential Retail Products: Consumer Electronics Saturation.” October 23, 2012. Accessed September 20, 2014. </w:t>
      </w:r>
      <w:hyperlink r:id="rId46" w:history="1">
        <w:r w:rsidRPr="003E1542">
          <w:rPr>
            <w:rStyle w:val="Hyperlink"/>
            <w:sz w:val="20"/>
            <w:szCs w:val="20"/>
          </w:rPr>
          <w:t>http://ma-eeac.org/wordpress/wp-content/uploads/Massachesetts-Residentail-Retail-Products_Consumer-Electronics-Saturation.pdf</w:t>
        </w:r>
      </w:hyperlink>
    </w:p>
    <w:p w14:paraId="2F674246" w14:textId="77777777" w:rsidR="00394E30" w:rsidRDefault="00754453" w:rsidP="00394E30">
      <w:pPr>
        <w:sectPr w:rsidR="00394E30" w:rsidSect="004C67E5">
          <w:headerReference w:type="default" r:id="rId47"/>
          <w:footerReference w:type="default" r:id="rId48"/>
          <w:pgSz w:w="12240" w:h="15840"/>
          <w:pgMar w:top="1440" w:right="1440" w:bottom="1440" w:left="1440" w:header="720" w:footer="720" w:gutter="0"/>
          <w:cols w:space="720"/>
          <w:docGrid w:linePitch="360"/>
        </w:sectPr>
      </w:pPr>
      <w:r>
        <w:t xml:space="preserve"> </w:t>
      </w:r>
    </w:p>
    <w:p w14:paraId="2766426F" w14:textId="77777777" w:rsidR="000F7D3E" w:rsidRDefault="000F7D3E" w:rsidP="004C67E5">
      <w:pPr>
        <w:pStyle w:val="Heading1"/>
      </w:pPr>
      <w:bookmarkStart w:id="76" w:name="_Toc399859734"/>
      <w:bookmarkStart w:id="77" w:name="_Toc399859792"/>
      <w:bookmarkStart w:id="78" w:name="_Toc399860137"/>
      <w:bookmarkStart w:id="79" w:name="_Toc399946326"/>
      <w:bookmarkStart w:id="80" w:name="_Toc401667855"/>
      <w:bookmarkEnd w:id="76"/>
      <w:bookmarkEnd w:id="77"/>
      <w:bookmarkEnd w:id="78"/>
      <w:bookmarkEnd w:id="79"/>
      <w:r>
        <w:lastRenderedPageBreak/>
        <w:t>Conclusions</w:t>
      </w:r>
      <w:r w:rsidR="00E473E6">
        <w:t xml:space="preserve"> and Recommendations</w:t>
      </w:r>
      <w:bookmarkEnd w:id="80"/>
    </w:p>
    <w:p w14:paraId="190F6F59" w14:textId="0A793872" w:rsidR="006A67D3" w:rsidRPr="002E2C11" w:rsidRDefault="006A67D3" w:rsidP="006A67D3">
      <w:pPr>
        <w:rPr>
          <w:szCs w:val="24"/>
        </w:rPr>
      </w:pPr>
      <w:r w:rsidRPr="002E2C11">
        <w:rPr>
          <w:szCs w:val="24"/>
        </w:rPr>
        <w:t>The literature revealed that</w:t>
      </w:r>
      <w:r w:rsidR="00C83DA7">
        <w:rPr>
          <w:szCs w:val="24"/>
        </w:rPr>
        <w:t>,</w:t>
      </w:r>
      <w:r w:rsidRPr="002E2C11">
        <w:rPr>
          <w:szCs w:val="24"/>
        </w:rPr>
        <w:t xml:space="preserve"> while there are distinct UEC savings and household savings that could be achieved throu</w:t>
      </w:r>
      <w:r>
        <w:rPr>
          <w:szCs w:val="24"/>
        </w:rPr>
        <w:t xml:space="preserve">gh energy efficiency measures, these measures need to be considered within the context of market barriers that might affect willingness to participate, market trends that might increase chances of free ridership, and saturation rates that might limit the technical potential for a program </w:t>
      </w:r>
      <w:r w:rsidR="002F29BB">
        <w:rPr>
          <w:szCs w:val="24"/>
        </w:rPr>
        <w:t xml:space="preserve">to </w:t>
      </w:r>
      <w:r w:rsidR="00332841">
        <w:rPr>
          <w:szCs w:val="24"/>
        </w:rPr>
        <w:t>make an impact in the territory</w:t>
      </w:r>
      <w:r>
        <w:rPr>
          <w:szCs w:val="24"/>
        </w:rPr>
        <w:t xml:space="preserve">. </w:t>
      </w:r>
      <w:r w:rsidR="005D072D">
        <w:t xml:space="preserve">A </w:t>
      </w:r>
      <w:r>
        <w:t>more detailed future consumer electronics potential study w</w:t>
      </w:r>
      <w:r w:rsidR="005D072D">
        <w:t>ould</w:t>
      </w:r>
      <w:r>
        <w:t xml:space="preserve"> provide the EEB with greater detail on both program and energy savings potential from a possible consumer electronics program.</w:t>
      </w:r>
      <w:r w:rsidR="00332841">
        <w:t xml:space="preserve"> Th</w:t>
      </w:r>
      <w:r w:rsidR="00291B10">
        <w:t xml:space="preserve">is section presents </w:t>
      </w:r>
      <w:r w:rsidR="00EF450C">
        <w:t xml:space="preserve">overall </w:t>
      </w:r>
      <w:r w:rsidR="00332841">
        <w:t>findings</w:t>
      </w:r>
      <w:r w:rsidR="00EF450C">
        <w:t xml:space="preserve"> and </w:t>
      </w:r>
      <w:r w:rsidR="00C83DA7">
        <w:t xml:space="preserve">those </w:t>
      </w:r>
      <w:r w:rsidR="00332841">
        <w:t>directly related to specific product categories</w:t>
      </w:r>
      <w:r w:rsidR="00C83DA7">
        <w:t>, as well as</w:t>
      </w:r>
      <w:r w:rsidR="00EF450C" w:rsidRPr="00EF450C">
        <w:t xml:space="preserve"> </w:t>
      </w:r>
      <w:r w:rsidR="00EF450C">
        <w:t>more details about the nature of future research</w:t>
      </w:r>
      <w:r w:rsidR="00332841">
        <w:t>.</w:t>
      </w:r>
    </w:p>
    <w:p w14:paraId="002F66B4" w14:textId="77777777" w:rsidR="006A67D3" w:rsidRDefault="006A67D3" w:rsidP="006A67D3">
      <w:pPr>
        <w:pStyle w:val="Heading2"/>
      </w:pPr>
      <w:bookmarkStart w:id="81" w:name="_Toc401667856"/>
      <w:r>
        <w:t>Overall Findings</w:t>
      </w:r>
      <w:bookmarkEnd w:id="81"/>
    </w:p>
    <w:p w14:paraId="3583B1CD" w14:textId="77777777" w:rsidR="006A67D3" w:rsidRPr="00CE518C" w:rsidRDefault="006A67D3" w:rsidP="006A67D3">
      <w:pPr>
        <w:rPr>
          <w:szCs w:val="24"/>
        </w:rPr>
      </w:pPr>
      <w:r w:rsidRPr="00CE518C">
        <w:rPr>
          <w:b/>
          <w:szCs w:val="24"/>
        </w:rPr>
        <w:t>Energy Consumption.</w:t>
      </w:r>
      <w:r w:rsidRPr="00CE518C">
        <w:rPr>
          <w:szCs w:val="24"/>
        </w:rPr>
        <w:t xml:space="preserve"> The top</w:t>
      </w:r>
      <w:r w:rsidR="00C83DA7">
        <w:rPr>
          <w:szCs w:val="24"/>
        </w:rPr>
        <w:t xml:space="preserve"> </w:t>
      </w:r>
      <w:r w:rsidRPr="00CE518C">
        <w:rPr>
          <w:szCs w:val="24"/>
        </w:rPr>
        <w:t xml:space="preserve">five </w:t>
      </w:r>
      <w:r w:rsidR="00C83DA7">
        <w:rPr>
          <w:szCs w:val="24"/>
        </w:rPr>
        <w:t>energy-</w:t>
      </w:r>
      <w:r w:rsidRPr="00CE518C">
        <w:rPr>
          <w:szCs w:val="24"/>
        </w:rPr>
        <w:t>consuming consumer electronics in 2013</w:t>
      </w:r>
      <w:r w:rsidR="00332841">
        <w:rPr>
          <w:szCs w:val="24"/>
        </w:rPr>
        <w:t xml:space="preserve"> in the US </w:t>
      </w:r>
      <w:r w:rsidRPr="00CE518C">
        <w:rPr>
          <w:szCs w:val="24"/>
        </w:rPr>
        <w:t>were TVs, STBs, PCs, network equipment, and game consoles. Together</w:t>
      </w:r>
      <w:r w:rsidR="00C83DA7">
        <w:rPr>
          <w:szCs w:val="24"/>
        </w:rPr>
        <w:t>,</w:t>
      </w:r>
      <w:r w:rsidRPr="00CE518C">
        <w:rPr>
          <w:szCs w:val="24"/>
        </w:rPr>
        <w:t xml:space="preserve"> they represent three-quarters of the total residential energy consumption </w:t>
      </w:r>
      <w:r w:rsidR="00C83DA7">
        <w:rPr>
          <w:szCs w:val="24"/>
        </w:rPr>
        <w:t>of</w:t>
      </w:r>
      <w:r w:rsidRPr="00CE518C">
        <w:rPr>
          <w:szCs w:val="24"/>
        </w:rPr>
        <w:t xml:space="preserve"> consumer electronics for that year</w:t>
      </w:r>
      <w:r w:rsidR="00332841">
        <w:rPr>
          <w:szCs w:val="24"/>
        </w:rPr>
        <w:t xml:space="preserve"> (</w:t>
      </w:r>
      <w:r w:rsidR="00332841" w:rsidRPr="00CE518C">
        <w:rPr>
          <w:szCs w:val="24"/>
        </w:rPr>
        <w:t>169</w:t>
      </w:r>
      <w:r w:rsidR="00C83DA7">
        <w:rPr>
          <w:szCs w:val="24"/>
        </w:rPr>
        <w:t xml:space="preserve"> </w:t>
      </w:r>
      <w:r w:rsidR="00332841" w:rsidRPr="00CE518C">
        <w:rPr>
          <w:szCs w:val="24"/>
        </w:rPr>
        <w:t>TWh</w:t>
      </w:r>
      <w:r w:rsidR="00332841">
        <w:rPr>
          <w:szCs w:val="24"/>
        </w:rPr>
        <w:t>)</w:t>
      </w:r>
      <w:r w:rsidRPr="00CE518C">
        <w:rPr>
          <w:szCs w:val="24"/>
        </w:rPr>
        <w:t>.</w:t>
      </w:r>
    </w:p>
    <w:p w14:paraId="1848D7F9" w14:textId="17EE76AF" w:rsidR="00332841" w:rsidRPr="00CE518C" w:rsidRDefault="00332841" w:rsidP="00332841">
      <w:pPr>
        <w:pStyle w:val="CommentText"/>
        <w:spacing w:line="276" w:lineRule="auto"/>
        <w:rPr>
          <w:sz w:val="24"/>
          <w:szCs w:val="24"/>
        </w:rPr>
      </w:pPr>
      <w:r w:rsidRPr="00CE518C">
        <w:rPr>
          <w:b/>
          <w:sz w:val="24"/>
          <w:szCs w:val="24"/>
        </w:rPr>
        <w:t>ENERGY STAR Penetration.</w:t>
      </w:r>
      <w:r w:rsidRPr="00CE518C">
        <w:rPr>
          <w:sz w:val="24"/>
          <w:szCs w:val="24"/>
        </w:rPr>
        <w:t xml:space="preserve"> In 2013, </w:t>
      </w:r>
      <w:r w:rsidR="000641BD">
        <w:rPr>
          <w:sz w:val="24"/>
          <w:szCs w:val="24"/>
        </w:rPr>
        <w:t xml:space="preserve">the </w:t>
      </w:r>
      <w:r w:rsidRPr="00CE518C">
        <w:rPr>
          <w:sz w:val="24"/>
          <w:szCs w:val="24"/>
        </w:rPr>
        <w:t>majorit</w:t>
      </w:r>
      <w:r w:rsidR="000641BD">
        <w:rPr>
          <w:sz w:val="24"/>
          <w:szCs w:val="24"/>
        </w:rPr>
        <w:t>y</w:t>
      </w:r>
      <w:r w:rsidRPr="00CE518C">
        <w:rPr>
          <w:sz w:val="24"/>
          <w:szCs w:val="24"/>
        </w:rPr>
        <w:t xml:space="preserve"> of TV (84%) and STB (89%) shipments were ENERGY STAR models. High market penetrations may indicat</w:t>
      </w:r>
      <w:r w:rsidR="000641BD">
        <w:rPr>
          <w:sz w:val="24"/>
          <w:szCs w:val="24"/>
        </w:rPr>
        <w:t>e</w:t>
      </w:r>
      <w:r w:rsidRPr="00CE518C">
        <w:rPr>
          <w:sz w:val="24"/>
          <w:szCs w:val="24"/>
        </w:rPr>
        <w:t xml:space="preserve"> a higher potential for free ridership</w:t>
      </w:r>
      <w:r>
        <w:rPr>
          <w:sz w:val="24"/>
          <w:szCs w:val="24"/>
        </w:rPr>
        <w:t xml:space="preserve"> </w:t>
      </w:r>
      <w:r w:rsidR="000641BD">
        <w:rPr>
          <w:sz w:val="24"/>
          <w:szCs w:val="24"/>
        </w:rPr>
        <w:t>with</w:t>
      </w:r>
      <w:r>
        <w:rPr>
          <w:sz w:val="24"/>
          <w:szCs w:val="24"/>
        </w:rPr>
        <w:t xml:space="preserve"> programs that leverage ENERGY STAR for incentive eligibility</w:t>
      </w:r>
      <w:r w:rsidRPr="00CE518C">
        <w:rPr>
          <w:sz w:val="24"/>
          <w:szCs w:val="24"/>
        </w:rPr>
        <w:t xml:space="preserve">. </w:t>
      </w:r>
      <w:r w:rsidR="00E30689">
        <w:rPr>
          <w:sz w:val="24"/>
          <w:szCs w:val="24"/>
        </w:rPr>
        <w:t>However</w:t>
      </w:r>
      <w:r>
        <w:rPr>
          <w:sz w:val="24"/>
          <w:szCs w:val="24"/>
        </w:rPr>
        <w:t>,</w:t>
      </w:r>
      <w:r w:rsidRPr="00CE518C">
        <w:rPr>
          <w:sz w:val="24"/>
          <w:szCs w:val="24"/>
        </w:rPr>
        <w:t xml:space="preserve"> these penetrations are likely to change soon</w:t>
      </w:r>
      <w:r w:rsidR="000641BD">
        <w:rPr>
          <w:sz w:val="24"/>
          <w:szCs w:val="24"/>
        </w:rPr>
        <w:t>,</w:t>
      </w:r>
      <w:r w:rsidRPr="00CE518C">
        <w:rPr>
          <w:sz w:val="24"/>
          <w:szCs w:val="24"/>
        </w:rPr>
        <w:t xml:space="preserve"> given new ENERGY STAR specifications that </w:t>
      </w:r>
      <w:r w:rsidR="000641BD">
        <w:rPr>
          <w:sz w:val="24"/>
          <w:szCs w:val="24"/>
        </w:rPr>
        <w:t>have already gone</w:t>
      </w:r>
      <w:r w:rsidRPr="00CE518C">
        <w:rPr>
          <w:sz w:val="24"/>
          <w:szCs w:val="24"/>
        </w:rPr>
        <w:t xml:space="preserve"> into effect during 2014 (PCs, June 2014), are going into effect later in 2014 (STBs, December 2014), or are in development stages (TVs).</w:t>
      </w:r>
    </w:p>
    <w:p w14:paraId="3D922CCC" w14:textId="402C9FB4" w:rsidR="00332841" w:rsidRDefault="00332841" w:rsidP="00332841">
      <w:pPr>
        <w:pStyle w:val="ListParagraph"/>
        <w:numPr>
          <w:ilvl w:val="1"/>
          <w:numId w:val="35"/>
        </w:numPr>
        <w:rPr>
          <w:szCs w:val="24"/>
        </w:rPr>
      </w:pPr>
      <w:r w:rsidRPr="00963DD3">
        <w:rPr>
          <w:b/>
          <w:szCs w:val="24"/>
        </w:rPr>
        <w:t>Recommendation:</w:t>
      </w:r>
      <w:r w:rsidRPr="00963DD3">
        <w:rPr>
          <w:szCs w:val="24"/>
        </w:rPr>
        <w:t xml:space="preserve"> Program approaches that incorporate the use of ENERGY STAR may need to require that eligible models meet efficiency levels that are percentages greater than ENERGY STAR’s minimum specifications. </w:t>
      </w:r>
      <w:r w:rsidR="0019314E">
        <w:rPr>
          <w:szCs w:val="24"/>
        </w:rPr>
        <w:t xml:space="preserve">For TVs, </w:t>
      </w:r>
      <w:r w:rsidRPr="00963DD3">
        <w:rPr>
          <w:szCs w:val="24"/>
        </w:rPr>
        <w:t xml:space="preserve">they might </w:t>
      </w:r>
      <w:r w:rsidR="0019314E">
        <w:rPr>
          <w:szCs w:val="24"/>
        </w:rPr>
        <w:t xml:space="preserve">also consider </w:t>
      </w:r>
      <w:r w:rsidRPr="00963DD3">
        <w:rPr>
          <w:szCs w:val="24"/>
        </w:rPr>
        <w:t>leverag</w:t>
      </w:r>
      <w:r w:rsidR="0019314E">
        <w:rPr>
          <w:szCs w:val="24"/>
        </w:rPr>
        <w:t>ing</w:t>
      </w:r>
      <w:r w:rsidRPr="00963DD3">
        <w:rPr>
          <w:szCs w:val="24"/>
        </w:rPr>
        <w:t xml:space="preserve"> ENERGY STAR’s Most Efficient</w:t>
      </w:r>
      <w:r w:rsidR="002B77F5">
        <w:rPr>
          <w:szCs w:val="24"/>
        </w:rPr>
        <w:t xml:space="preserve"> </w:t>
      </w:r>
      <w:r w:rsidRPr="00963DD3">
        <w:rPr>
          <w:szCs w:val="24"/>
        </w:rPr>
        <w:t>list. If implementing a program that utilizes ENERGY STAR, program managers would benefit from remaining abreast of specification changes.</w:t>
      </w:r>
    </w:p>
    <w:p w14:paraId="2BCD5093" w14:textId="77777777" w:rsidR="00C95E20" w:rsidRPr="00963DD3" w:rsidRDefault="00C95E20" w:rsidP="00C95E20">
      <w:pPr>
        <w:pStyle w:val="ListParagraph"/>
        <w:ind w:left="1440"/>
        <w:rPr>
          <w:szCs w:val="24"/>
        </w:rPr>
      </w:pPr>
    </w:p>
    <w:p w14:paraId="7E98CF4C" w14:textId="46BB3BB5" w:rsidR="006A67D3" w:rsidRPr="00CE518C" w:rsidRDefault="006A67D3" w:rsidP="006A67D3">
      <w:pPr>
        <w:pStyle w:val="CommentText"/>
        <w:spacing w:line="276" w:lineRule="auto"/>
        <w:rPr>
          <w:sz w:val="24"/>
          <w:szCs w:val="24"/>
        </w:rPr>
      </w:pPr>
      <w:r w:rsidRPr="00CE518C">
        <w:rPr>
          <w:b/>
          <w:sz w:val="24"/>
          <w:szCs w:val="24"/>
        </w:rPr>
        <w:t xml:space="preserve">Market </w:t>
      </w:r>
      <w:r w:rsidR="001F6E7F">
        <w:rPr>
          <w:b/>
          <w:sz w:val="24"/>
          <w:szCs w:val="24"/>
        </w:rPr>
        <w:t>Trends and Barriers</w:t>
      </w:r>
      <w:r w:rsidRPr="00CE518C">
        <w:rPr>
          <w:b/>
          <w:sz w:val="24"/>
          <w:szCs w:val="24"/>
        </w:rPr>
        <w:t>.</w:t>
      </w:r>
      <w:r w:rsidRPr="00CE518C">
        <w:rPr>
          <w:sz w:val="24"/>
          <w:szCs w:val="24"/>
        </w:rPr>
        <w:t xml:space="preserve"> </w:t>
      </w:r>
      <w:r w:rsidR="001F6E7F">
        <w:rPr>
          <w:sz w:val="24"/>
          <w:szCs w:val="24"/>
        </w:rPr>
        <w:t xml:space="preserve">While a measure might technically be able to reduce a product’s energy consumption, it may be challenging to implement the measure. For example, the measure may have a limited appeal to market actors or </w:t>
      </w:r>
      <w:r w:rsidR="000641BD">
        <w:rPr>
          <w:sz w:val="24"/>
          <w:szCs w:val="24"/>
        </w:rPr>
        <w:t xml:space="preserve">may </w:t>
      </w:r>
      <w:r w:rsidR="001F6E7F">
        <w:rPr>
          <w:sz w:val="24"/>
          <w:szCs w:val="24"/>
        </w:rPr>
        <w:t xml:space="preserve">quickly become obsolete </w:t>
      </w:r>
      <w:r w:rsidR="000641BD">
        <w:rPr>
          <w:sz w:val="24"/>
          <w:szCs w:val="24"/>
        </w:rPr>
        <w:t>due to</w:t>
      </w:r>
      <w:r w:rsidR="001F6E7F">
        <w:rPr>
          <w:sz w:val="24"/>
          <w:szCs w:val="24"/>
        </w:rPr>
        <w:t xml:space="preserve"> expected market changes.</w:t>
      </w:r>
    </w:p>
    <w:p w14:paraId="475583C8" w14:textId="77777777" w:rsidR="006A67D3" w:rsidRPr="00CE518C" w:rsidRDefault="006A67D3" w:rsidP="006A67D3">
      <w:pPr>
        <w:pStyle w:val="ListParagraph"/>
        <w:numPr>
          <w:ilvl w:val="1"/>
          <w:numId w:val="35"/>
        </w:numPr>
        <w:rPr>
          <w:szCs w:val="24"/>
        </w:rPr>
      </w:pPr>
      <w:r w:rsidRPr="00CE518C">
        <w:rPr>
          <w:b/>
          <w:szCs w:val="24"/>
        </w:rPr>
        <w:t xml:space="preserve">Recommendation: </w:t>
      </w:r>
      <w:r w:rsidRPr="00CE518C">
        <w:rPr>
          <w:szCs w:val="24"/>
        </w:rPr>
        <w:t xml:space="preserve">In future research, the EEB may wish to reassess the market </w:t>
      </w:r>
      <w:r w:rsidR="000905B4">
        <w:rPr>
          <w:szCs w:val="24"/>
        </w:rPr>
        <w:t>trends described in this report</w:t>
      </w:r>
      <w:r w:rsidRPr="00CE518C">
        <w:rPr>
          <w:szCs w:val="24"/>
        </w:rPr>
        <w:t xml:space="preserve"> and search for other emerging patterns that might influence</w:t>
      </w:r>
      <w:r w:rsidR="000905B4">
        <w:rPr>
          <w:szCs w:val="24"/>
        </w:rPr>
        <w:t xml:space="preserve"> future</w:t>
      </w:r>
      <w:r w:rsidRPr="00CE518C">
        <w:rPr>
          <w:szCs w:val="24"/>
        </w:rPr>
        <w:t xml:space="preserve"> program success. </w:t>
      </w:r>
      <w:r w:rsidR="000905B4">
        <w:rPr>
          <w:szCs w:val="24"/>
        </w:rPr>
        <w:t>The team</w:t>
      </w:r>
      <w:r w:rsidRPr="00CE518C">
        <w:rPr>
          <w:szCs w:val="24"/>
        </w:rPr>
        <w:t xml:space="preserve"> suggests doing this through either 1) qualitative research, </w:t>
      </w:r>
      <w:r w:rsidR="000905B4">
        <w:rPr>
          <w:szCs w:val="24"/>
        </w:rPr>
        <w:t>with</w:t>
      </w:r>
      <w:r w:rsidRPr="00CE518C">
        <w:rPr>
          <w:szCs w:val="24"/>
        </w:rPr>
        <w:t xml:space="preserve"> activities such as in-depth interviews or comprehensive </w:t>
      </w:r>
      <w:r w:rsidRPr="00CE518C">
        <w:rPr>
          <w:szCs w:val="24"/>
        </w:rPr>
        <w:lastRenderedPageBreak/>
        <w:t>literature reviews</w:t>
      </w:r>
      <w:r w:rsidR="007F4AB7">
        <w:rPr>
          <w:szCs w:val="24"/>
        </w:rPr>
        <w:t>;</w:t>
      </w:r>
      <w:r w:rsidRPr="00CE518C">
        <w:rPr>
          <w:szCs w:val="24"/>
        </w:rPr>
        <w:t xml:space="preserve"> or 2) quantitative research, </w:t>
      </w:r>
      <w:r w:rsidR="000905B4">
        <w:rPr>
          <w:szCs w:val="24"/>
        </w:rPr>
        <w:t xml:space="preserve">potentially </w:t>
      </w:r>
      <w:r w:rsidRPr="00CE518C">
        <w:rPr>
          <w:szCs w:val="24"/>
        </w:rPr>
        <w:t>using surveys with market actors</w:t>
      </w:r>
      <w:r w:rsidR="000905B4">
        <w:rPr>
          <w:szCs w:val="24"/>
        </w:rPr>
        <w:t xml:space="preserve"> or conducting secondary data analyses</w:t>
      </w:r>
      <w:r w:rsidR="007F4AB7">
        <w:rPr>
          <w:szCs w:val="24"/>
        </w:rPr>
        <w:t>,</w:t>
      </w:r>
      <w:r w:rsidR="000905B4">
        <w:rPr>
          <w:szCs w:val="24"/>
        </w:rPr>
        <w:t xml:space="preserve"> if possible</w:t>
      </w:r>
      <w:r w:rsidRPr="00CE518C">
        <w:rPr>
          <w:szCs w:val="24"/>
        </w:rPr>
        <w:t>.</w:t>
      </w:r>
    </w:p>
    <w:p w14:paraId="36AD5C29" w14:textId="77777777" w:rsidR="00C95E20" w:rsidRDefault="00C95E20" w:rsidP="006A67D3">
      <w:pPr>
        <w:pStyle w:val="CommentText"/>
        <w:spacing w:line="276" w:lineRule="auto"/>
        <w:rPr>
          <w:b/>
          <w:sz w:val="24"/>
          <w:szCs w:val="24"/>
        </w:rPr>
      </w:pPr>
    </w:p>
    <w:p w14:paraId="33B555D4" w14:textId="6C41C64D" w:rsidR="006A67D3" w:rsidRPr="00CE518C" w:rsidRDefault="006A67D3" w:rsidP="006A67D3">
      <w:pPr>
        <w:pStyle w:val="CommentText"/>
        <w:spacing w:line="276" w:lineRule="auto"/>
        <w:rPr>
          <w:sz w:val="24"/>
          <w:szCs w:val="24"/>
        </w:rPr>
      </w:pPr>
      <w:r w:rsidRPr="00CE518C">
        <w:rPr>
          <w:b/>
          <w:sz w:val="24"/>
          <w:szCs w:val="24"/>
        </w:rPr>
        <w:t>Technical Energy Savings.</w:t>
      </w:r>
      <w:r w:rsidRPr="00CE518C">
        <w:rPr>
          <w:sz w:val="24"/>
          <w:szCs w:val="24"/>
        </w:rPr>
        <w:t xml:space="preserve"> </w:t>
      </w:r>
      <w:r w:rsidR="007F4AB7">
        <w:rPr>
          <w:sz w:val="24"/>
          <w:szCs w:val="24"/>
        </w:rPr>
        <w:t>Because</w:t>
      </w:r>
      <w:r w:rsidR="000905B4">
        <w:rPr>
          <w:sz w:val="24"/>
          <w:szCs w:val="24"/>
        </w:rPr>
        <w:t xml:space="preserve"> market trends can indicate market actors’ willingness to participate in and/or engage with program efforts, </w:t>
      </w:r>
      <w:r w:rsidRPr="00CE518C">
        <w:rPr>
          <w:sz w:val="24"/>
          <w:szCs w:val="24"/>
        </w:rPr>
        <w:t>studies like</w:t>
      </w:r>
      <w:r w:rsidR="000905B4">
        <w:rPr>
          <w:sz w:val="24"/>
          <w:szCs w:val="24"/>
        </w:rPr>
        <w:t xml:space="preserve"> the </w:t>
      </w:r>
      <w:r w:rsidR="000905B4" w:rsidRPr="00CE518C">
        <w:rPr>
          <w:sz w:val="24"/>
          <w:szCs w:val="24"/>
        </w:rPr>
        <w:t>Massachusetts 2012 Saturation Study</w:t>
      </w:r>
      <w:r w:rsidRPr="00CE518C">
        <w:rPr>
          <w:sz w:val="24"/>
          <w:szCs w:val="24"/>
        </w:rPr>
        <w:t xml:space="preserve"> can help determine what savings could technically be achieved in the state as a whole if all </w:t>
      </w:r>
      <w:r w:rsidR="007F4AB7">
        <w:rPr>
          <w:sz w:val="24"/>
          <w:szCs w:val="24"/>
        </w:rPr>
        <w:t xml:space="preserve">relevant </w:t>
      </w:r>
      <w:r w:rsidRPr="00CE518C">
        <w:rPr>
          <w:sz w:val="24"/>
          <w:szCs w:val="24"/>
        </w:rPr>
        <w:t>customers and market actors were willing to implement a given measure</w:t>
      </w:r>
      <w:r w:rsidR="000905B4">
        <w:rPr>
          <w:sz w:val="24"/>
          <w:szCs w:val="24"/>
        </w:rPr>
        <w:t xml:space="preserve">. In this report, NMR applied Massachusetts 2012 Saturation Study findings to the savings </w:t>
      </w:r>
      <w:r w:rsidR="00A2423A">
        <w:rPr>
          <w:sz w:val="24"/>
          <w:szCs w:val="24"/>
        </w:rPr>
        <w:t xml:space="preserve">for one measure </w:t>
      </w:r>
      <w:r w:rsidR="0032182A">
        <w:rPr>
          <w:sz w:val="24"/>
          <w:szCs w:val="24"/>
        </w:rPr>
        <w:t xml:space="preserve">presented </w:t>
      </w:r>
      <w:r w:rsidR="000905B4">
        <w:rPr>
          <w:sz w:val="24"/>
          <w:szCs w:val="24"/>
        </w:rPr>
        <w:t xml:space="preserve">in this literature review to gauge </w:t>
      </w:r>
      <w:r w:rsidR="00E213FD">
        <w:rPr>
          <w:sz w:val="24"/>
          <w:szCs w:val="24"/>
        </w:rPr>
        <w:t xml:space="preserve">its </w:t>
      </w:r>
      <w:r w:rsidR="000905B4">
        <w:rPr>
          <w:sz w:val="24"/>
          <w:szCs w:val="24"/>
        </w:rPr>
        <w:t>technical potential</w:t>
      </w:r>
      <w:r w:rsidR="0032182A">
        <w:rPr>
          <w:sz w:val="24"/>
          <w:szCs w:val="24"/>
        </w:rPr>
        <w:t xml:space="preserve"> as an illustration of how the savings figures presented here could be applied to Connecticut</w:t>
      </w:r>
      <w:r w:rsidR="0019314E">
        <w:rPr>
          <w:sz w:val="24"/>
          <w:szCs w:val="24"/>
        </w:rPr>
        <w:t xml:space="preserve"> as a whole</w:t>
      </w:r>
      <w:r w:rsidR="000905B4">
        <w:rPr>
          <w:sz w:val="24"/>
          <w:szCs w:val="24"/>
        </w:rPr>
        <w:t xml:space="preserve">. While the Massachusetts 2012 Saturation Study findings can give some sense of </w:t>
      </w:r>
      <w:r w:rsidR="001B6253">
        <w:rPr>
          <w:sz w:val="24"/>
          <w:szCs w:val="24"/>
        </w:rPr>
        <w:t xml:space="preserve">the </w:t>
      </w:r>
      <w:r w:rsidR="000905B4">
        <w:rPr>
          <w:sz w:val="24"/>
          <w:szCs w:val="24"/>
        </w:rPr>
        <w:t>technical potential in Connecticut</w:t>
      </w:r>
      <w:r w:rsidR="001B6253">
        <w:rPr>
          <w:sz w:val="24"/>
          <w:szCs w:val="24"/>
        </w:rPr>
        <w:t>,</w:t>
      </w:r>
      <w:r w:rsidR="000905B4">
        <w:rPr>
          <w:sz w:val="24"/>
          <w:szCs w:val="24"/>
        </w:rPr>
        <w:t xml:space="preserve"> they are not specific to Connecticut and they are two years old</w:t>
      </w:r>
      <w:r w:rsidR="00B76339">
        <w:rPr>
          <w:sz w:val="24"/>
          <w:szCs w:val="24"/>
        </w:rPr>
        <w:t xml:space="preserve">, </w:t>
      </w:r>
      <w:r w:rsidR="001B6253">
        <w:rPr>
          <w:sz w:val="24"/>
          <w:szCs w:val="24"/>
        </w:rPr>
        <w:t>so they may be</w:t>
      </w:r>
      <w:r w:rsidR="00B76339">
        <w:rPr>
          <w:sz w:val="24"/>
          <w:szCs w:val="24"/>
        </w:rPr>
        <w:t xml:space="preserve"> obsolete </w:t>
      </w:r>
      <w:r w:rsidR="001B6253">
        <w:rPr>
          <w:sz w:val="24"/>
          <w:szCs w:val="24"/>
        </w:rPr>
        <w:t xml:space="preserve">due to </w:t>
      </w:r>
      <w:r w:rsidR="00B76339">
        <w:rPr>
          <w:sz w:val="24"/>
          <w:szCs w:val="24"/>
        </w:rPr>
        <w:t>the rapidly changing nature of this market.</w:t>
      </w:r>
    </w:p>
    <w:p w14:paraId="4EAA840D" w14:textId="326177BA" w:rsidR="006A67D3" w:rsidRDefault="006A67D3" w:rsidP="006A67D3">
      <w:pPr>
        <w:pStyle w:val="CommentText"/>
        <w:numPr>
          <w:ilvl w:val="1"/>
          <w:numId w:val="35"/>
        </w:numPr>
        <w:spacing w:line="276" w:lineRule="auto"/>
        <w:rPr>
          <w:sz w:val="24"/>
          <w:szCs w:val="24"/>
        </w:rPr>
      </w:pPr>
      <w:r w:rsidRPr="00CE518C">
        <w:rPr>
          <w:b/>
          <w:sz w:val="24"/>
          <w:szCs w:val="24"/>
        </w:rPr>
        <w:t xml:space="preserve">Recommendation: </w:t>
      </w:r>
      <w:r w:rsidRPr="00CE518C">
        <w:rPr>
          <w:sz w:val="24"/>
          <w:szCs w:val="24"/>
        </w:rPr>
        <w:t xml:space="preserve">The EEB may find it useful to conduct </w:t>
      </w:r>
      <w:r w:rsidR="000905B4">
        <w:rPr>
          <w:sz w:val="24"/>
          <w:szCs w:val="24"/>
        </w:rPr>
        <w:t xml:space="preserve">a saturation study in Connecticut like the </w:t>
      </w:r>
      <w:r w:rsidRPr="00CE518C">
        <w:rPr>
          <w:sz w:val="24"/>
          <w:szCs w:val="24"/>
        </w:rPr>
        <w:t>Massachusetts</w:t>
      </w:r>
      <w:r w:rsidR="000905B4">
        <w:rPr>
          <w:sz w:val="24"/>
          <w:szCs w:val="24"/>
        </w:rPr>
        <w:t xml:space="preserve"> 2012 Saturation Study. T</w:t>
      </w:r>
      <w:r w:rsidRPr="00CE518C">
        <w:rPr>
          <w:sz w:val="24"/>
          <w:szCs w:val="24"/>
        </w:rPr>
        <w:t>his effort could help the EEB determine the technical potential savings for implementing measures that are estimated to yield high per-unit or per-household energy savings.</w:t>
      </w:r>
      <w:r w:rsidR="000905B4">
        <w:rPr>
          <w:sz w:val="24"/>
          <w:szCs w:val="24"/>
        </w:rPr>
        <w:t xml:space="preserve"> This quantitative research could involve telephone surveys with customers or home site visits</w:t>
      </w:r>
      <w:r w:rsidR="001B6253">
        <w:rPr>
          <w:sz w:val="24"/>
          <w:szCs w:val="24"/>
        </w:rPr>
        <w:t xml:space="preserve"> that</w:t>
      </w:r>
      <w:r w:rsidR="000905B4">
        <w:rPr>
          <w:sz w:val="24"/>
          <w:szCs w:val="24"/>
        </w:rPr>
        <w:t xml:space="preserve"> collect data </w:t>
      </w:r>
      <w:r w:rsidR="009309EB">
        <w:rPr>
          <w:sz w:val="24"/>
          <w:szCs w:val="24"/>
        </w:rPr>
        <w:t xml:space="preserve">on characteristics </w:t>
      </w:r>
      <w:r w:rsidR="000905B4">
        <w:rPr>
          <w:sz w:val="24"/>
          <w:szCs w:val="24"/>
        </w:rPr>
        <w:t>like the number of units and types of units installed or in</w:t>
      </w:r>
      <w:r w:rsidR="001B6253">
        <w:rPr>
          <w:sz w:val="24"/>
          <w:szCs w:val="24"/>
        </w:rPr>
        <w:t xml:space="preserve"> </w:t>
      </w:r>
      <w:r w:rsidR="000905B4">
        <w:rPr>
          <w:sz w:val="24"/>
          <w:szCs w:val="24"/>
        </w:rPr>
        <w:t>use in Connecticut homes.</w:t>
      </w:r>
      <w:r w:rsidR="00E213FD">
        <w:rPr>
          <w:sz w:val="24"/>
          <w:szCs w:val="24"/>
        </w:rPr>
        <w:t xml:space="preserve"> A</w:t>
      </w:r>
      <w:r w:rsidR="0032182A">
        <w:rPr>
          <w:sz w:val="24"/>
          <w:szCs w:val="24"/>
        </w:rPr>
        <w:t xml:space="preserve">lternatively, </w:t>
      </w:r>
      <w:r w:rsidR="00E213FD">
        <w:rPr>
          <w:sz w:val="24"/>
          <w:szCs w:val="24"/>
        </w:rPr>
        <w:t xml:space="preserve">technical potential savings </w:t>
      </w:r>
      <w:r w:rsidR="0032182A">
        <w:rPr>
          <w:sz w:val="24"/>
          <w:szCs w:val="24"/>
        </w:rPr>
        <w:t xml:space="preserve">estimates </w:t>
      </w:r>
      <w:r w:rsidR="00E213FD">
        <w:rPr>
          <w:sz w:val="24"/>
          <w:szCs w:val="24"/>
        </w:rPr>
        <w:t xml:space="preserve">could </w:t>
      </w:r>
      <w:r w:rsidR="0032182A">
        <w:rPr>
          <w:sz w:val="24"/>
          <w:szCs w:val="24"/>
        </w:rPr>
        <w:t>be made by</w:t>
      </w:r>
      <w:r w:rsidR="00E213FD">
        <w:rPr>
          <w:sz w:val="24"/>
          <w:szCs w:val="24"/>
        </w:rPr>
        <w:t xml:space="preserve"> applying savings figures to national saturation rates (</w:t>
      </w:r>
      <w:r w:rsidR="0019314E">
        <w:rPr>
          <w:sz w:val="24"/>
          <w:szCs w:val="24"/>
        </w:rPr>
        <w:t xml:space="preserve">e.g., </w:t>
      </w:r>
      <w:r w:rsidR="00E213FD">
        <w:rPr>
          <w:sz w:val="24"/>
          <w:szCs w:val="24"/>
        </w:rPr>
        <w:t>number of units per</w:t>
      </w:r>
      <w:r w:rsidR="0032182A">
        <w:rPr>
          <w:sz w:val="24"/>
          <w:szCs w:val="24"/>
        </w:rPr>
        <w:t>-</w:t>
      </w:r>
      <w:r w:rsidR="00E213FD">
        <w:rPr>
          <w:sz w:val="24"/>
          <w:szCs w:val="24"/>
        </w:rPr>
        <w:t xml:space="preserve">household presented </w:t>
      </w:r>
      <w:r w:rsidR="00E213FD" w:rsidRPr="00E213FD">
        <w:rPr>
          <w:sz w:val="24"/>
          <w:szCs w:val="24"/>
        </w:rPr>
        <w:t xml:space="preserve">in </w:t>
      </w:r>
      <w:r w:rsidR="00E213FD" w:rsidRPr="00E213FD">
        <w:rPr>
          <w:sz w:val="24"/>
          <w:szCs w:val="24"/>
        </w:rPr>
        <w:fldChar w:fldCharType="begin"/>
      </w:r>
      <w:r w:rsidR="00E213FD" w:rsidRPr="00E213FD">
        <w:rPr>
          <w:sz w:val="24"/>
          <w:szCs w:val="24"/>
        </w:rPr>
        <w:instrText xml:space="preserve"> REF _Ref395684191 \h </w:instrText>
      </w:r>
      <w:r w:rsidR="00E213FD">
        <w:rPr>
          <w:sz w:val="24"/>
          <w:szCs w:val="24"/>
        </w:rPr>
        <w:instrText xml:space="preserve"> \* MERGEFORMAT </w:instrText>
      </w:r>
      <w:r w:rsidR="00E213FD" w:rsidRPr="00E213FD">
        <w:rPr>
          <w:sz w:val="24"/>
          <w:szCs w:val="24"/>
        </w:rPr>
      </w:r>
      <w:r w:rsidR="00E213FD" w:rsidRPr="00E213FD">
        <w:rPr>
          <w:sz w:val="24"/>
          <w:szCs w:val="24"/>
        </w:rPr>
        <w:fldChar w:fldCharType="separate"/>
      </w:r>
      <w:r w:rsidR="00302A02" w:rsidRPr="00302A02">
        <w:rPr>
          <w:sz w:val="24"/>
          <w:szCs w:val="24"/>
        </w:rPr>
        <w:t xml:space="preserve">Table </w:t>
      </w:r>
      <w:r w:rsidR="00302A02" w:rsidRPr="00302A02">
        <w:rPr>
          <w:noProof/>
          <w:sz w:val="24"/>
          <w:szCs w:val="24"/>
        </w:rPr>
        <w:t>1</w:t>
      </w:r>
      <w:r w:rsidR="00E213FD" w:rsidRPr="00E213FD">
        <w:rPr>
          <w:sz w:val="24"/>
          <w:szCs w:val="24"/>
        </w:rPr>
        <w:fldChar w:fldCharType="end"/>
      </w:r>
      <w:r w:rsidR="0032182A">
        <w:rPr>
          <w:sz w:val="24"/>
          <w:szCs w:val="24"/>
        </w:rPr>
        <w:t>)</w:t>
      </w:r>
      <w:r w:rsidR="00E213FD">
        <w:rPr>
          <w:sz w:val="24"/>
          <w:szCs w:val="24"/>
        </w:rPr>
        <w:t>.</w:t>
      </w:r>
    </w:p>
    <w:p w14:paraId="7E98BEFC" w14:textId="77777777" w:rsidR="00C95E20" w:rsidRPr="00CE518C" w:rsidRDefault="00C95E20" w:rsidP="009309EB"/>
    <w:p w14:paraId="44E3C8B3" w14:textId="77777777" w:rsidR="006A67D3" w:rsidRDefault="006A67D3" w:rsidP="006A67D3">
      <w:pPr>
        <w:pStyle w:val="CommentText"/>
        <w:spacing w:line="276" w:lineRule="auto"/>
        <w:rPr>
          <w:sz w:val="24"/>
          <w:szCs w:val="24"/>
        </w:rPr>
      </w:pPr>
      <w:r w:rsidRPr="00CE518C">
        <w:rPr>
          <w:b/>
          <w:sz w:val="24"/>
          <w:szCs w:val="24"/>
        </w:rPr>
        <w:t>Implementation Strategies.</w:t>
      </w:r>
      <w:r w:rsidRPr="00CE518C">
        <w:rPr>
          <w:sz w:val="24"/>
          <w:szCs w:val="24"/>
        </w:rPr>
        <w:t xml:space="preserve"> NMR learned of a number of measures that could yield reasonably high per-unit or per-household energy savings if implemented successfully. The team offers implementation strategies including recycling programs; midstream and downstream incentives; consumer education campaigns; direct installation; and partnerships with policymakers, specification and standard setting entities, and manufacturers. The last strategy, involving partnerships with stakeholder groups, is likely a longer-term strategy, whereas implementation approaches using midstream and downstream incentives, for example, could likely be implemented in the near-term.</w:t>
      </w:r>
      <w:r w:rsidR="009309EB">
        <w:rPr>
          <w:sz w:val="24"/>
          <w:szCs w:val="24"/>
        </w:rPr>
        <w:t xml:space="preserve"> The conclusions and recommendations that follow highlight measures that could realistically be implemented in the near-term.</w:t>
      </w:r>
    </w:p>
    <w:p w14:paraId="71975E4E" w14:textId="77777777" w:rsidR="006A67D3" w:rsidRPr="008351DE" w:rsidRDefault="006A67D3" w:rsidP="006A67D3">
      <w:pPr>
        <w:pStyle w:val="Heading2"/>
      </w:pPr>
      <w:bookmarkStart w:id="82" w:name="_Toc399859737"/>
      <w:bookmarkStart w:id="83" w:name="_Toc399859795"/>
      <w:bookmarkStart w:id="84" w:name="_Toc399860140"/>
      <w:bookmarkStart w:id="85" w:name="_Toc399946329"/>
      <w:bookmarkStart w:id="86" w:name="_Toc401667857"/>
      <w:bookmarkEnd w:id="82"/>
      <w:bookmarkEnd w:id="83"/>
      <w:bookmarkEnd w:id="84"/>
      <w:bookmarkEnd w:id="85"/>
      <w:r w:rsidRPr="008351DE">
        <w:t>Televisions</w:t>
      </w:r>
      <w:bookmarkEnd w:id="86"/>
    </w:p>
    <w:p w14:paraId="5709CA06" w14:textId="603AE8DE" w:rsidR="006A67D3" w:rsidRPr="00CE518C" w:rsidRDefault="006A67D3" w:rsidP="006A67D3">
      <w:pPr>
        <w:pStyle w:val="CommentText"/>
        <w:spacing w:line="276" w:lineRule="auto"/>
        <w:rPr>
          <w:sz w:val="24"/>
          <w:szCs w:val="24"/>
        </w:rPr>
      </w:pPr>
      <w:r w:rsidRPr="00CE518C">
        <w:rPr>
          <w:b/>
          <w:sz w:val="24"/>
          <w:szCs w:val="24"/>
        </w:rPr>
        <w:t>Estimated TV Savings.</w:t>
      </w:r>
      <w:r w:rsidRPr="00CE518C">
        <w:rPr>
          <w:sz w:val="24"/>
          <w:szCs w:val="24"/>
        </w:rPr>
        <w:t xml:space="preserve"> The energy</w:t>
      </w:r>
      <w:r w:rsidR="002C7C62">
        <w:rPr>
          <w:sz w:val="24"/>
          <w:szCs w:val="24"/>
        </w:rPr>
        <w:t>-</w:t>
      </w:r>
      <w:r w:rsidRPr="00CE518C">
        <w:rPr>
          <w:sz w:val="24"/>
          <w:szCs w:val="24"/>
        </w:rPr>
        <w:t xml:space="preserve">saving measures </w:t>
      </w:r>
      <w:r w:rsidR="009309EB">
        <w:rPr>
          <w:sz w:val="24"/>
          <w:szCs w:val="24"/>
        </w:rPr>
        <w:t xml:space="preserve">for TVs that are </w:t>
      </w:r>
      <w:r w:rsidRPr="00CE518C">
        <w:rPr>
          <w:sz w:val="24"/>
          <w:szCs w:val="24"/>
        </w:rPr>
        <w:t xml:space="preserve">presented in this report may have the potential to generate </w:t>
      </w:r>
      <w:r>
        <w:rPr>
          <w:sz w:val="24"/>
          <w:szCs w:val="24"/>
        </w:rPr>
        <w:t>unit</w:t>
      </w:r>
      <w:r w:rsidRPr="00CE518C">
        <w:rPr>
          <w:sz w:val="24"/>
          <w:szCs w:val="24"/>
        </w:rPr>
        <w:t xml:space="preserve">-level savings ranging from </w:t>
      </w:r>
      <w:r>
        <w:rPr>
          <w:sz w:val="24"/>
          <w:szCs w:val="24"/>
        </w:rPr>
        <w:t xml:space="preserve">10% to </w:t>
      </w:r>
      <w:r w:rsidR="00A26E2A">
        <w:rPr>
          <w:sz w:val="24"/>
          <w:szCs w:val="24"/>
        </w:rPr>
        <w:t>38</w:t>
      </w:r>
      <w:r>
        <w:rPr>
          <w:sz w:val="24"/>
          <w:szCs w:val="24"/>
        </w:rPr>
        <w:t>%</w:t>
      </w:r>
      <w:r w:rsidR="002C7C62">
        <w:rPr>
          <w:sz w:val="24"/>
          <w:szCs w:val="24"/>
        </w:rPr>
        <w:t>.</w:t>
      </w:r>
    </w:p>
    <w:p w14:paraId="721B98A9" w14:textId="77777777" w:rsidR="00A26E2A" w:rsidRPr="00CE518C" w:rsidRDefault="00A26E2A" w:rsidP="00A26E2A">
      <w:pPr>
        <w:pStyle w:val="CommentText"/>
        <w:numPr>
          <w:ilvl w:val="0"/>
          <w:numId w:val="35"/>
        </w:numPr>
        <w:spacing w:line="276" w:lineRule="auto"/>
        <w:rPr>
          <w:sz w:val="24"/>
          <w:szCs w:val="24"/>
        </w:rPr>
      </w:pPr>
      <w:r>
        <w:rPr>
          <w:sz w:val="24"/>
          <w:szCs w:val="24"/>
        </w:rPr>
        <w:t>The</w:t>
      </w:r>
      <w:r w:rsidRPr="00CE518C">
        <w:rPr>
          <w:sz w:val="24"/>
          <w:szCs w:val="24"/>
        </w:rPr>
        <w:t xml:space="preserve"> purchase of models that are labeled or recognized as energy</w:t>
      </w:r>
      <w:r>
        <w:rPr>
          <w:sz w:val="24"/>
          <w:szCs w:val="24"/>
        </w:rPr>
        <w:t>-</w:t>
      </w:r>
      <w:r w:rsidRPr="00CE518C">
        <w:rPr>
          <w:sz w:val="24"/>
          <w:szCs w:val="24"/>
        </w:rPr>
        <w:t>efficient instead of new standard models</w:t>
      </w:r>
      <w:r>
        <w:rPr>
          <w:sz w:val="24"/>
          <w:szCs w:val="24"/>
        </w:rPr>
        <w:t xml:space="preserve"> may have high savings opportunities</w:t>
      </w:r>
      <w:r w:rsidRPr="00CE518C">
        <w:rPr>
          <w:sz w:val="24"/>
          <w:szCs w:val="24"/>
        </w:rPr>
        <w:t xml:space="preserve">; for example, selecting new </w:t>
      </w:r>
      <w:r w:rsidRPr="00CE518C">
        <w:rPr>
          <w:sz w:val="24"/>
          <w:szCs w:val="24"/>
        </w:rPr>
        <w:lastRenderedPageBreak/>
        <w:t>ENERGY STAR Most Efficient 60” TVs might offer 38% savings in UEC when compared to standard new TV models of the same size.</w:t>
      </w:r>
    </w:p>
    <w:p w14:paraId="2D983367" w14:textId="7B8B4526" w:rsidR="006A67D3" w:rsidRPr="00CE518C" w:rsidRDefault="006A67D3" w:rsidP="006A67D3">
      <w:pPr>
        <w:pStyle w:val="CommentText"/>
        <w:numPr>
          <w:ilvl w:val="0"/>
          <w:numId w:val="35"/>
        </w:numPr>
        <w:spacing w:line="276" w:lineRule="auto"/>
        <w:rPr>
          <w:sz w:val="24"/>
          <w:szCs w:val="24"/>
        </w:rPr>
      </w:pPr>
      <w:r w:rsidRPr="00CE518C">
        <w:rPr>
          <w:sz w:val="24"/>
          <w:szCs w:val="24"/>
        </w:rPr>
        <w:t>One measure</w:t>
      </w:r>
      <w:r w:rsidR="002C7C62">
        <w:rPr>
          <w:sz w:val="24"/>
          <w:szCs w:val="24"/>
        </w:rPr>
        <w:t>—</w:t>
      </w:r>
      <w:r w:rsidRPr="00CE518C">
        <w:rPr>
          <w:sz w:val="24"/>
          <w:szCs w:val="24"/>
        </w:rPr>
        <w:t>replacing olde</w:t>
      </w:r>
      <w:r w:rsidR="0012674A">
        <w:rPr>
          <w:sz w:val="24"/>
          <w:szCs w:val="24"/>
        </w:rPr>
        <w:t xml:space="preserve">r installed TV models with new </w:t>
      </w:r>
      <w:r w:rsidRPr="00CE518C">
        <w:rPr>
          <w:sz w:val="24"/>
          <w:szCs w:val="24"/>
        </w:rPr>
        <w:t>best</w:t>
      </w:r>
      <w:r w:rsidR="002C7C62">
        <w:rPr>
          <w:sz w:val="24"/>
          <w:szCs w:val="24"/>
        </w:rPr>
        <w:t>-</w:t>
      </w:r>
      <w:r w:rsidRPr="00CE518C">
        <w:rPr>
          <w:sz w:val="24"/>
          <w:szCs w:val="24"/>
        </w:rPr>
        <w:t>in</w:t>
      </w:r>
      <w:r w:rsidR="002C7C62">
        <w:rPr>
          <w:sz w:val="24"/>
          <w:szCs w:val="24"/>
        </w:rPr>
        <w:t>-</w:t>
      </w:r>
      <w:r w:rsidRPr="00CE518C">
        <w:rPr>
          <w:sz w:val="24"/>
          <w:szCs w:val="24"/>
        </w:rPr>
        <w:t xml:space="preserve">class models that are included in </w:t>
      </w:r>
      <w:r w:rsidR="00A26E2A">
        <w:rPr>
          <w:sz w:val="24"/>
          <w:szCs w:val="24"/>
        </w:rPr>
        <w:t>ENERGY STAR</w:t>
      </w:r>
      <w:r w:rsidRPr="00CE518C">
        <w:rPr>
          <w:sz w:val="24"/>
          <w:szCs w:val="24"/>
        </w:rPr>
        <w:t>’s</w:t>
      </w:r>
      <w:r w:rsidR="00A26E2A">
        <w:rPr>
          <w:sz w:val="24"/>
          <w:szCs w:val="24"/>
        </w:rPr>
        <w:t xml:space="preserve"> Most Efficient</w:t>
      </w:r>
      <w:r w:rsidRPr="00CE518C">
        <w:rPr>
          <w:sz w:val="24"/>
          <w:szCs w:val="24"/>
        </w:rPr>
        <w:t xml:space="preserve"> list</w:t>
      </w:r>
      <w:r w:rsidR="002C7C62">
        <w:rPr>
          <w:sz w:val="24"/>
          <w:szCs w:val="24"/>
        </w:rPr>
        <w:t>—</w:t>
      </w:r>
      <w:r w:rsidRPr="00CE518C">
        <w:rPr>
          <w:sz w:val="24"/>
          <w:szCs w:val="24"/>
        </w:rPr>
        <w:t xml:space="preserve">could offer </w:t>
      </w:r>
      <w:r w:rsidR="00A26E2A">
        <w:rPr>
          <w:sz w:val="24"/>
          <w:szCs w:val="24"/>
        </w:rPr>
        <w:t>31</w:t>
      </w:r>
      <w:r w:rsidRPr="00CE518C">
        <w:rPr>
          <w:sz w:val="24"/>
          <w:szCs w:val="24"/>
        </w:rPr>
        <w:t xml:space="preserve">% savings in annual UEC over the installed base. </w:t>
      </w:r>
    </w:p>
    <w:p w14:paraId="5DEFEA6F" w14:textId="28E8CA6D" w:rsidR="006A67D3" w:rsidRPr="00CE518C" w:rsidRDefault="006A67D3" w:rsidP="006A67D3">
      <w:pPr>
        <w:pStyle w:val="CommentText"/>
        <w:numPr>
          <w:ilvl w:val="1"/>
          <w:numId w:val="35"/>
        </w:numPr>
        <w:spacing w:line="276" w:lineRule="auto"/>
        <w:rPr>
          <w:sz w:val="24"/>
          <w:szCs w:val="24"/>
        </w:rPr>
      </w:pPr>
      <w:r w:rsidRPr="00CE518C">
        <w:rPr>
          <w:b/>
          <w:sz w:val="24"/>
          <w:szCs w:val="24"/>
        </w:rPr>
        <w:t>Recommendation:</w:t>
      </w:r>
      <w:r w:rsidRPr="00CE518C">
        <w:rPr>
          <w:sz w:val="24"/>
          <w:szCs w:val="24"/>
        </w:rPr>
        <w:t xml:space="preserve"> Investigate offering </w:t>
      </w:r>
      <w:r w:rsidR="0019314E">
        <w:rPr>
          <w:sz w:val="24"/>
          <w:szCs w:val="24"/>
        </w:rPr>
        <w:t xml:space="preserve">TV </w:t>
      </w:r>
      <w:r w:rsidRPr="00CE518C">
        <w:rPr>
          <w:sz w:val="24"/>
          <w:szCs w:val="24"/>
        </w:rPr>
        <w:t>incentives based on labels and recognition programs directed at end-users, retailers, and distributors</w:t>
      </w:r>
      <w:r w:rsidR="0019314E">
        <w:rPr>
          <w:sz w:val="24"/>
          <w:szCs w:val="24"/>
        </w:rPr>
        <w:t xml:space="preserve"> and TV recycling programs</w:t>
      </w:r>
      <w:r w:rsidRPr="00CE518C">
        <w:rPr>
          <w:sz w:val="24"/>
          <w:szCs w:val="24"/>
        </w:rPr>
        <w:t>.</w:t>
      </w:r>
    </w:p>
    <w:p w14:paraId="58017CBD" w14:textId="77777777" w:rsidR="00C95E20" w:rsidRDefault="00C95E20" w:rsidP="006A67D3">
      <w:pPr>
        <w:pStyle w:val="CommentText"/>
        <w:spacing w:line="276" w:lineRule="auto"/>
        <w:rPr>
          <w:b/>
          <w:sz w:val="24"/>
          <w:szCs w:val="24"/>
        </w:rPr>
      </w:pPr>
    </w:p>
    <w:p w14:paraId="4C1B4563" w14:textId="77777777" w:rsidR="006A67D3" w:rsidRPr="00CE518C" w:rsidRDefault="006A67D3" w:rsidP="006A67D3">
      <w:pPr>
        <w:pStyle w:val="CommentText"/>
        <w:spacing w:line="276" w:lineRule="auto"/>
        <w:rPr>
          <w:sz w:val="24"/>
          <w:szCs w:val="24"/>
        </w:rPr>
      </w:pPr>
      <w:r w:rsidRPr="00CE518C">
        <w:rPr>
          <w:b/>
          <w:sz w:val="24"/>
          <w:szCs w:val="24"/>
        </w:rPr>
        <w:t>Claiming TV Savings.</w:t>
      </w:r>
      <w:r w:rsidRPr="00CE518C">
        <w:rPr>
          <w:sz w:val="24"/>
          <w:szCs w:val="24"/>
        </w:rPr>
        <w:t xml:space="preserve"> Some TV market dynamics could increase free ridership potential</w:t>
      </w:r>
      <w:r w:rsidR="00F339B2">
        <w:rPr>
          <w:sz w:val="24"/>
          <w:szCs w:val="24"/>
        </w:rPr>
        <w:t xml:space="preserve"> and/or present a barrier to calculating and yielding program savings</w:t>
      </w:r>
      <w:r w:rsidR="00F7411D">
        <w:rPr>
          <w:sz w:val="24"/>
          <w:szCs w:val="24"/>
        </w:rPr>
        <w:t>.</w:t>
      </w:r>
      <w:r w:rsidRPr="00CE518C">
        <w:rPr>
          <w:sz w:val="24"/>
          <w:szCs w:val="24"/>
        </w:rPr>
        <w:tab/>
      </w:r>
    </w:p>
    <w:p w14:paraId="4D41C1ED" w14:textId="77777777" w:rsidR="006A67D3" w:rsidRPr="00CE518C" w:rsidRDefault="006A67D3" w:rsidP="006A67D3">
      <w:pPr>
        <w:pStyle w:val="CommentText"/>
        <w:numPr>
          <w:ilvl w:val="0"/>
          <w:numId w:val="35"/>
        </w:numPr>
        <w:spacing w:line="276" w:lineRule="auto"/>
        <w:rPr>
          <w:sz w:val="24"/>
          <w:szCs w:val="24"/>
        </w:rPr>
      </w:pPr>
      <w:r w:rsidRPr="00CE518C">
        <w:rPr>
          <w:sz w:val="24"/>
          <w:szCs w:val="24"/>
        </w:rPr>
        <w:t xml:space="preserve">Retailers are stocking energy-efficient models, </w:t>
      </w:r>
      <w:r w:rsidR="00F7411D">
        <w:rPr>
          <w:sz w:val="24"/>
          <w:szCs w:val="24"/>
        </w:rPr>
        <w:t xml:space="preserve">thereby </w:t>
      </w:r>
      <w:r w:rsidRPr="00CE518C">
        <w:rPr>
          <w:sz w:val="24"/>
          <w:szCs w:val="24"/>
        </w:rPr>
        <w:t xml:space="preserve">making </w:t>
      </w:r>
      <w:r w:rsidR="00F7411D">
        <w:rPr>
          <w:sz w:val="24"/>
          <w:szCs w:val="24"/>
        </w:rPr>
        <w:t xml:space="preserve">such </w:t>
      </w:r>
      <w:r w:rsidRPr="00CE518C">
        <w:rPr>
          <w:sz w:val="24"/>
          <w:szCs w:val="24"/>
        </w:rPr>
        <w:t>products available, but also limiting the need for programs to offer mid</w:t>
      </w:r>
      <w:r w:rsidR="00F339B2">
        <w:rPr>
          <w:sz w:val="24"/>
          <w:szCs w:val="24"/>
        </w:rPr>
        <w:t>stream incentives.</w:t>
      </w:r>
    </w:p>
    <w:p w14:paraId="6EB98E91" w14:textId="77777777" w:rsidR="006A67D3" w:rsidRPr="00CE518C" w:rsidRDefault="00F7411D" w:rsidP="006A67D3">
      <w:pPr>
        <w:pStyle w:val="CommentText"/>
        <w:numPr>
          <w:ilvl w:val="0"/>
          <w:numId w:val="35"/>
        </w:numPr>
        <w:spacing w:line="276" w:lineRule="auto"/>
        <w:rPr>
          <w:sz w:val="24"/>
          <w:szCs w:val="24"/>
        </w:rPr>
      </w:pPr>
      <w:r>
        <w:rPr>
          <w:sz w:val="24"/>
          <w:szCs w:val="24"/>
        </w:rPr>
        <w:t>Increasing the rigor of s</w:t>
      </w:r>
      <w:r w:rsidR="006A67D3" w:rsidRPr="00CE518C">
        <w:rPr>
          <w:sz w:val="24"/>
          <w:szCs w:val="24"/>
        </w:rPr>
        <w:t xml:space="preserve">tate-level TV </w:t>
      </w:r>
      <w:r w:rsidR="00F339B2">
        <w:rPr>
          <w:sz w:val="24"/>
          <w:szCs w:val="24"/>
        </w:rPr>
        <w:t xml:space="preserve">energy efficiency </w:t>
      </w:r>
      <w:r w:rsidR="006A67D3" w:rsidRPr="00CE518C">
        <w:rPr>
          <w:sz w:val="24"/>
          <w:szCs w:val="24"/>
        </w:rPr>
        <w:t>regulations</w:t>
      </w:r>
      <w:r w:rsidR="00F339B2">
        <w:rPr>
          <w:sz w:val="24"/>
          <w:szCs w:val="24"/>
        </w:rPr>
        <w:t xml:space="preserve">, </w:t>
      </w:r>
      <w:r w:rsidR="006127B3">
        <w:rPr>
          <w:sz w:val="24"/>
          <w:szCs w:val="24"/>
        </w:rPr>
        <w:t>such as those</w:t>
      </w:r>
      <w:r w:rsidR="006A67D3" w:rsidRPr="00CE518C">
        <w:rPr>
          <w:sz w:val="24"/>
          <w:szCs w:val="24"/>
        </w:rPr>
        <w:t xml:space="preserve"> in Connecticut</w:t>
      </w:r>
      <w:r w:rsidR="00F339B2">
        <w:rPr>
          <w:sz w:val="24"/>
          <w:szCs w:val="24"/>
        </w:rPr>
        <w:t>,</w:t>
      </w:r>
      <w:r w:rsidR="006A67D3" w:rsidRPr="00CE518C">
        <w:rPr>
          <w:sz w:val="24"/>
          <w:szCs w:val="24"/>
        </w:rPr>
        <w:t xml:space="preserve"> may encourage manufacturers to produce fewer inefficient models </w:t>
      </w:r>
      <w:r>
        <w:rPr>
          <w:sz w:val="24"/>
          <w:szCs w:val="24"/>
        </w:rPr>
        <w:t>due to fewer</w:t>
      </w:r>
      <w:r w:rsidR="006A67D3" w:rsidRPr="00CE518C">
        <w:rPr>
          <w:sz w:val="24"/>
          <w:szCs w:val="24"/>
        </w:rPr>
        <w:t xml:space="preserve"> locations where they can sell </w:t>
      </w:r>
      <w:r w:rsidR="00420016">
        <w:rPr>
          <w:sz w:val="24"/>
          <w:szCs w:val="24"/>
        </w:rPr>
        <w:t>such models</w:t>
      </w:r>
      <w:r>
        <w:rPr>
          <w:sz w:val="24"/>
          <w:szCs w:val="24"/>
        </w:rPr>
        <w:t>.</w:t>
      </w:r>
      <w:r w:rsidR="006A67D3" w:rsidRPr="00CE518C">
        <w:rPr>
          <w:sz w:val="24"/>
          <w:szCs w:val="24"/>
        </w:rPr>
        <w:t xml:space="preserve"> </w:t>
      </w:r>
      <w:r>
        <w:rPr>
          <w:sz w:val="24"/>
          <w:szCs w:val="24"/>
        </w:rPr>
        <w:t>This</w:t>
      </w:r>
      <w:r w:rsidR="006A67D3" w:rsidRPr="00CE518C">
        <w:rPr>
          <w:sz w:val="24"/>
          <w:szCs w:val="24"/>
        </w:rPr>
        <w:t xml:space="preserve"> </w:t>
      </w:r>
      <w:r>
        <w:rPr>
          <w:sz w:val="24"/>
          <w:szCs w:val="24"/>
        </w:rPr>
        <w:t>would</w:t>
      </w:r>
      <w:r w:rsidR="006A67D3" w:rsidRPr="00CE518C">
        <w:rPr>
          <w:sz w:val="24"/>
          <w:szCs w:val="24"/>
        </w:rPr>
        <w:t xml:space="preserve"> </w:t>
      </w:r>
      <w:r w:rsidR="00F339B2">
        <w:rPr>
          <w:sz w:val="24"/>
          <w:szCs w:val="24"/>
        </w:rPr>
        <w:t>limit</w:t>
      </w:r>
      <w:r w:rsidR="006A67D3" w:rsidRPr="00CE518C">
        <w:rPr>
          <w:sz w:val="24"/>
          <w:szCs w:val="24"/>
        </w:rPr>
        <w:t xml:space="preserve"> program savings impact. </w:t>
      </w:r>
    </w:p>
    <w:p w14:paraId="5F9F38F9" w14:textId="77777777" w:rsidR="006A67D3" w:rsidRPr="00CE518C" w:rsidRDefault="006A67D3" w:rsidP="006A67D3">
      <w:pPr>
        <w:pStyle w:val="CommentText"/>
        <w:numPr>
          <w:ilvl w:val="0"/>
          <w:numId w:val="35"/>
        </w:numPr>
        <w:spacing w:line="276" w:lineRule="auto"/>
        <w:rPr>
          <w:sz w:val="24"/>
          <w:szCs w:val="24"/>
        </w:rPr>
      </w:pPr>
      <w:r w:rsidRPr="00CE518C">
        <w:rPr>
          <w:sz w:val="24"/>
          <w:szCs w:val="24"/>
        </w:rPr>
        <w:t xml:space="preserve">Rapid market changes and the plethora of extraneous devices, such as STBs, may make estimates for TV-specific savings unreliable. </w:t>
      </w:r>
    </w:p>
    <w:p w14:paraId="7A59A2A9" w14:textId="77777777" w:rsidR="006A67D3" w:rsidRDefault="006A67D3" w:rsidP="006A67D3">
      <w:pPr>
        <w:pStyle w:val="CommentText"/>
        <w:numPr>
          <w:ilvl w:val="1"/>
          <w:numId w:val="35"/>
        </w:numPr>
        <w:spacing w:line="276" w:lineRule="auto"/>
        <w:rPr>
          <w:sz w:val="24"/>
          <w:szCs w:val="24"/>
        </w:rPr>
      </w:pPr>
      <w:r w:rsidRPr="00CE518C">
        <w:rPr>
          <w:b/>
          <w:sz w:val="24"/>
          <w:szCs w:val="24"/>
        </w:rPr>
        <w:t>Recommendation:</w:t>
      </w:r>
      <w:r w:rsidRPr="00CE518C">
        <w:rPr>
          <w:sz w:val="24"/>
          <w:szCs w:val="24"/>
        </w:rPr>
        <w:t xml:space="preserve"> </w:t>
      </w:r>
      <w:r w:rsidR="009309EB">
        <w:rPr>
          <w:sz w:val="24"/>
          <w:szCs w:val="24"/>
        </w:rPr>
        <w:t>If</w:t>
      </w:r>
      <w:r w:rsidRPr="00CE518C">
        <w:rPr>
          <w:sz w:val="24"/>
          <w:szCs w:val="24"/>
        </w:rPr>
        <w:t xml:space="preserve"> </w:t>
      </w:r>
      <w:r w:rsidR="009309EB">
        <w:rPr>
          <w:sz w:val="24"/>
          <w:szCs w:val="24"/>
        </w:rPr>
        <w:t xml:space="preserve">program managers </w:t>
      </w:r>
      <w:r w:rsidRPr="00CE518C">
        <w:rPr>
          <w:sz w:val="24"/>
          <w:szCs w:val="24"/>
        </w:rPr>
        <w:t>design programs that promote energy</w:t>
      </w:r>
      <w:r w:rsidR="008D5C34">
        <w:rPr>
          <w:sz w:val="24"/>
          <w:szCs w:val="24"/>
        </w:rPr>
        <w:t>-</w:t>
      </w:r>
      <w:r w:rsidRPr="00CE518C">
        <w:rPr>
          <w:sz w:val="24"/>
          <w:szCs w:val="24"/>
        </w:rPr>
        <w:t xml:space="preserve">efficient TVs, </w:t>
      </w:r>
      <w:r w:rsidR="009309EB">
        <w:rPr>
          <w:sz w:val="24"/>
          <w:szCs w:val="24"/>
        </w:rPr>
        <w:t>they</w:t>
      </w:r>
      <w:r w:rsidRPr="00CE518C">
        <w:rPr>
          <w:sz w:val="24"/>
          <w:szCs w:val="24"/>
        </w:rPr>
        <w:t xml:space="preserve"> might consider that factors like these can present barriers to accurately claiming program savings</w:t>
      </w:r>
      <w:r w:rsidR="00F339B2">
        <w:rPr>
          <w:sz w:val="24"/>
          <w:szCs w:val="24"/>
        </w:rPr>
        <w:t>.</w:t>
      </w:r>
    </w:p>
    <w:p w14:paraId="5BC23769" w14:textId="77777777" w:rsidR="006A67D3" w:rsidRPr="008351DE" w:rsidRDefault="006A67D3" w:rsidP="006A67D3">
      <w:pPr>
        <w:pStyle w:val="Heading2"/>
      </w:pPr>
      <w:bookmarkStart w:id="87" w:name="_Toc399859739"/>
      <w:bookmarkStart w:id="88" w:name="_Toc399859797"/>
      <w:bookmarkStart w:id="89" w:name="_Toc399860142"/>
      <w:bookmarkStart w:id="90" w:name="_Toc399946331"/>
      <w:bookmarkStart w:id="91" w:name="_Toc401667858"/>
      <w:bookmarkEnd w:id="87"/>
      <w:bookmarkEnd w:id="88"/>
      <w:bookmarkEnd w:id="89"/>
      <w:bookmarkEnd w:id="90"/>
      <w:r w:rsidRPr="008351DE">
        <w:t>Set</w:t>
      </w:r>
      <w:r w:rsidR="008D5C34">
        <w:t>-</w:t>
      </w:r>
      <w:r w:rsidRPr="008351DE">
        <w:t xml:space="preserve">top </w:t>
      </w:r>
      <w:r w:rsidR="008D5C34">
        <w:t>B</w:t>
      </w:r>
      <w:r w:rsidRPr="008351DE">
        <w:t>oxes</w:t>
      </w:r>
      <w:bookmarkEnd w:id="91"/>
    </w:p>
    <w:p w14:paraId="44D4A776" w14:textId="77777777" w:rsidR="006A67D3" w:rsidRPr="00CE518C" w:rsidRDefault="006A67D3" w:rsidP="006A67D3">
      <w:pPr>
        <w:rPr>
          <w:szCs w:val="24"/>
        </w:rPr>
      </w:pPr>
      <w:r w:rsidRPr="00CE518C">
        <w:rPr>
          <w:b/>
          <w:szCs w:val="24"/>
        </w:rPr>
        <w:t>Estimated STB Savings.</w:t>
      </w:r>
      <w:r w:rsidRPr="00CE518C">
        <w:rPr>
          <w:szCs w:val="24"/>
        </w:rPr>
        <w:t xml:space="preserve"> Three measures for reducing STB energy consumption stood out as potential near-term measures that do not </w:t>
      </w:r>
      <w:r w:rsidRPr="00CE518C">
        <w:rPr>
          <w:i/>
          <w:szCs w:val="24"/>
        </w:rPr>
        <w:t>necessarily</w:t>
      </w:r>
      <w:r w:rsidRPr="00CE518C">
        <w:rPr>
          <w:szCs w:val="24"/>
        </w:rPr>
        <w:t xml:space="preserve"> involve partnerships with groups like manufacturers or media service providers</w:t>
      </w:r>
      <w:r w:rsidR="008D5C34">
        <w:rPr>
          <w:szCs w:val="24"/>
        </w:rPr>
        <w:t>.</w:t>
      </w:r>
    </w:p>
    <w:p w14:paraId="2D293E6C" w14:textId="77777777" w:rsidR="006A67D3" w:rsidRPr="00CE518C" w:rsidRDefault="00F339B2" w:rsidP="006A67D3">
      <w:pPr>
        <w:pStyle w:val="CommentText"/>
        <w:numPr>
          <w:ilvl w:val="0"/>
          <w:numId w:val="35"/>
        </w:numPr>
        <w:spacing w:line="276" w:lineRule="auto"/>
        <w:rPr>
          <w:sz w:val="24"/>
          <w:szCs w:val="24"/>
        </w:rPr>
      </w:pPr>
      <w:r>
        <w:rPr>
          <w:sz w:val="24"/>
          <w:szCs w:val="24"/>
        </w:rPr>
        <w:t>E</w:t>
      </w:r>
      <w:r w:rsidR="006A67D3" w:rsidRPr="00CE518C">
        <w:rPr>
          <w:sz w:val="24"/>
          <w:szCs w:val="24"/>
        </w:rPr>
        <w:t xml:space="preserve">ntirely eliminating the use of </w:t>
      </w:r>
      <w:r>
        <w:rPr>
          <w:sz w:val="24"/>
          <w:szCs w:val="24"/>
        </w:rPr>
        <w:t xml:space="preserve">cable or satellite </w:t>
      </w:r>
      <w:r w:rsidR="006A67D3" w:rsidRPr="00CE518C">
        <w:rPr>
          <w:sz w:val="24"/>
          <w:szCs w:val="24"/>
        </w:rPr>
        <w:t>pay-TV service</w:t>
      </w:r>
      <w:r w:rsidR="008D5C34">
        <w:rPr>
          <w:sz w:val="24"/>
          <w:szCs w:val="24"/>
        </w:rPr>
        <w:t>s</w:t>
      </w:r>
      <w:r w:rsidR="006A67D3" w:rsidRPr="00CE518C">
        <w:rPr>
          <w:sz w:val="24"/>
          <w:szCs w:val="24"/>
        </w:rPr>
        <w:t xml:space="preserve"> could reduce a household’s energy consumption by 180</w:t>
      </w:r>
      <w:r w:rsidR="008D5C34">
        <w:rPr>
          <w:sz w:val="24"/>
          <w:szCs w:val="24"/>
        </w:rPr>
        <w:t xml:space="preserve"> </w:t>
      </w:r>
      <w:r w:rsidR="006A67D3" w:rsidRPr="00CE518C">
        <w:rPr>
          <w:sz w:val="24"/>
          <w:szCs w:val="24"/>
        </w:rPr>
        <w:t xml:space="preserve">kWh/year, a 90% savings. </w:t>
      </w:r>
      <w:r w:rsidR="001818D0">
        <w:rPr>
          <w:sz w:val="24"/>
          <w:szCs w:val="24"/>
        </w:rPr>
        <w:t>While media streaming is increasing in popularity</w:t>
      </w:r>
      <w:r>
        <w:rPr>
          <w:sz w:val="24"/>
          <w:szCs w:val="24"/>
        </w:rPr>
        <w:t xml:space="preserve">, NMR assumes that the potential barriers involved in transitioning the majority of households to a new technology interface, the limitations </w:t>
      </w:r>
      <w:r w:rsidR="008D5C34">
        <w:rPr>
          <w:sz w:val="24"/>
          <w:szCs w:val="24"/>
        </w:rPr>
        <w:t>of</w:t>
      </w:r>
      <w:r>
        <w:rPr>
          <w:sz w:val="24"/>
          <w:szCs w:val="24"/>
        </w:rPr>
        <w:t xml:space="preserve"> current service infrastructure, and political implications may prove challenging for a program to overcome or address.</w:t>
      </w:r>
    </w:p>
    <w:p w14:paraId="224C85EF" w14:textId="77777777" w:rsidR="006A67D3" w:rsidRPr="00CE518C" w:rsidRDefault="001818D0" w:rsidP="006A67D3">
      <w:pPr>
        <w:pStyle w:val="CommentText"/>
        <w:numPr>
          <w:ilvl w:val="0"/>
          <w:numId w:val="35"/>
        </w:numPr>
        <w:spacing w:line="276" w:lineRule="auto"/>
        <w:rPr>
          <w:sz w:val="24"/>
          <w:szCs w:val="24"/>
        </w:rPr>
      </w:pPr>
      <w:r>
        <w:rPr>
          <w:sz w:val="24"/>
          <w:szCs w:val="24"/>
        </w:rPr>
        <w:t>R</w:t>
      </w:r>
      <w:r w:rsidR="006A67D3" w:rsidRPr="00CE518C">
        <w:rPr>
          <w:sz w:val="24"/>
          <w:szCs w:val="24"/>
        </w:rPr>
        <w:t>econfiguring high-consuming multi-room STB configurations by replacing the non-</w:t>
      </w:r>
      <w:r>
        <w:rPr>
          <w:sz w:val="24"/>
          <w:szCs w:val="24"/>
        </w:rPr>
        <w:t>primary devices with low-power thin-client</w:t>
      </w:r>
      <w:r w:rsidR="006A67D3" w:rsidRPr="00CE518C">
        <w:rPr>
          <w:sz w:val="24"/>
          <w:szCs w:val="24"/>
        </w:rPr>
        <w:t xml:space="preserve"> devices with the same functionality could reduce annual UEC of those non-primary units by 52%</w:t>
      </w:r>
      <w:r>
        <w:rPr>
          <w:sz w:val="24"/>
          <w:szCs w:val="24"/>
        </w:rPr>
        <w:t>.</w:t>
      </w:r>
    </w:p>
    <w:p w14:paraId="6CBAED59" w14:textId="77777777" w:rsidR="006A67D3" w:rsidRPr="00CE518C" w:rsidRDefault="006A67D3" w:rsidP="006A67D3">
      <w:pPr>
        <w:pStyle w:val="CommentText"/>
        <w:numPr>
          <w:ilvl w:val="0"/>
          <w:numId w:val="35"/>
        </w:numPr>
        <w:spacing w:line="276" w:lineRule="auto"/>
        <w:rPr>
          <w:sz w:val="24"/>
          <w:szCs w:val="24"/>
        </w:rPr>
      </w:pPr>
      <w:r w:rsidRPr="00CE518C">
        <w:rPr>
          <w:sz w:val="24"/>
          <w:szCs w:val="24"/>
        </w:rPr>
        <w:lastRenderedPageBreak/>
        <w:t xml:space="preserve">Another effective way to reduce STB consumption would be selection of ENERGY STAR models: ENERGY STAR reported that ENERGY STAR STBs offer savings of 45% over standard models. </w:t>
      </w:r>
    </w:p>
    <w:p w14:paraId="5A307321" w14:textId="77777777" w:rsidR="006A67D3" w:rsidRDefault="006A67D3" w:rsidP="006A67D3">
      <w:pPr>
        <w:pStyle w:val="ListParagraph"/>
        <w:numPr>
          <w:ilvl w:val="1"/>
          <w:numId w:val="36"/>
        </w:numPr>
        <w:rPr>
          <w:szCs w:val="24"/>
        </w:rPr>
      </w:pPr>
      <w:r w:rsidRPr="00CE518C">
        <w:rPr>
          <w:b/>
          <w:szCs w:val="24"/>
        </w:rPr>
        <w:t>Recommendation:</w:t>
      </w:r>
      <w:r w:rsidRPr="00CE518C">
        <w:rPr>
          <w:szCs w:val="24"/>
        </w:rPr>
        <w:t xml:space="preserve"> </w:t>
      </w:r>
      <w:r w:rsidR="00DA2504">
        <w:rPr>
          <w:szCs w:val="24"/>
        </w:rPr>
        <w:t>Without considering market trends, these</w:t>
      </w:r>
      <w:r w:rsidRPr="00CE518C">
        <w:rPr>
          <w:szCs w:val="24"/>
        </w:rPr>
        <w:t xml:space="preserve"> three top-saving measures could be </w:t>
      </w:r>
      <w:r w:rsidR="001818D0">
        <w:rPr>
          <w:szCs w:val="24"/>
        </w:rPr>
        <w:t>implemented</w:t>
      </w:r>
      <w:r w:rsidRPr="00CE518C">
        <w:rPr>
          <w:szCs w:val="24"/>
        </w:rPr>
        <w:t xml:space="preserve"> through recycling programs, midstream and downstream incentives, and consumer education campaigns.</w:t>
      </w:r>
      <w:r w:rsidR="001818D0">
        <w:rPr>
          <w:szCs w:val="24"/>
        </w:rPr>
        <w:t xml:space="preserve"> </w:t>
      </w:r>
      <w:r w:rsidR="00DA2504">
        <w:rPr>
          <w:szCs w:val="24"/>
        </w:rPr>
        <w:t>If the EEB determine</w:t>
      </w:r>
      <w:r w:rsidR="00963DD3">
        <w:rPr>
          <w:szCs w:val="24"/>
        </w:rPr>
        <w:t>s</w:t>
      </w:r>
      <w:r w:rsidR="00DA2504">
        <w:rPr>
          <w:szCs w:val="24"/>
        </w:rPr>
        <w:t xml:space="preserve"> </w:t>
      </w:r>
      <w:r w:rsidR="00F93D53">
        <w:rPr>
          <w:szCs w:val="24"/>
        </w:rPr>
        <w:t xml:space="preserve">that </w:t>
      </w:r>
      <w:r w:rsidR="00DA2504">
        <w:rPr>
          <w:szCs w:val="24"/>
        </w:rPr>
        <w:t xml:space="preserve">it </w:t>
      </w:r>
      <w:r w:rsidR="00F93D53">
        <w:rPr>
          <w:szCs w:val="24"/>
        </w:rPr>
        <w:t>is beneficial</w:t>
      </w:r>
      <w:r w:rsidR="00DA2504">
        <w:rPr>
          <w:szCs w:val="24"/>
        </w:rPr>
        <w:t xml:space="preserve"> to address STBs, p</w:t>
      </w:r>
      <w:r w:rsidR="001818D0">
        <w:rPr>
          <w:szCs w:val="24"/>
        </w:rPr>
        <w:t>romoting thin-client devices and ENERGY STAR models would be most appropriate for program efforts.</w:t>
      </w:r>
      <w:r w:rsidR="00DA2504">
        <w:rPr>
          <w:szCs w:val="24"/>
        </w:rPr>
        <w:t xml:space="preserve"> </w:t>
      </w:r>
    </w:p>
    <w:p w14:paraId="0FBDA650" w14:textId="77777777" w:rsidR="00C95E20" w:rsidRPr="00CE518C" w:rsidRDefault="00C95E20" w:rsidP="001818D0">
      <w:pPr>
        <w:pStyle w:val="ListParagraph"/>
        <w:ind w:left="1440"/>
        <w:rPr>
          <w:szCs w:val="24"/>
        </w:rPr>
      </w:pPr>
    </w:p>
    <w:p w14:paraId="79A1FF0F" w14:textId="77777777" w:rsidR="003B7741" w:rsidRDefault="003B7741" w:rsidP="003B7741">
      <w:pPr>
        <w:rPr>
          <w:szCs w:val="24"/>
        </w:rPr>
      </w:pPr>
      <w:r>
        <w:rPr>
          <w:b/>
          <w:szCs w:val="24"/>
        </w:rPr>
        <w:t>STB Market Dynamics</w:t>
      </w:r>
      <w:r w:rsidR="006A67D3" w:rsidRPr="00CE518C">
        <w:rPr>
          <w:b/>
          <w:szCs w:val="24"/>
        </w:rPr>
        <w:t>.</w:t>
      </w:r>
      <w:r w:rsidR="006A67D3" w:rsidRPr="00CE518C">
        <w:rPr>
          <w:szCs w:val="24"/>
        </w:rPr>
        <w:t xml:space="preserve"> </w:t>
      </w:r>
      <w:r>
        <w:rPr>
          <w:szCs w:val="24"/>
        </w:rPr>
        <w:t>Some market dynamics may indicate that addressing STBs is not prudent in terms of claimable savings and market barriers.</w:t>
      </w:r>
    </w:p>
    <w:p w14:paraId="56C2E4E6" w14:textId="77777777" w:rsidR="006A67D3" w:rsidRPr="003B7741" w:rsidRDefault="006A67D3" w:rsidP="003B7741">
      <w:pPr>
        <w:pStyle w:val="ListParagraph"/>
        <w:numPr>
          <w:ilvl w:val="0"/>
          <w:numId w:val="37"/>
        </w:numPr>
        <w:rPr>
          <w:szCs w:val="24"/>
        </w:rPr>
      </w:pPr>
      <w:r w:rsidRPr="003B7741">
        <w:rPr>
          <w:szCs w:val="24"/>
        </w:rPr>
        <w:t>The Set-top Box Energy Conservation Agreement</w:t>
      </w:r>
      <w:r w:rsidR="00A50E6D">
        <w:rPr>
          <w:szCs w:val="24"/>
        </w:rPr>
        <w:t>, which attempts to ensure that 90% of deployed/purchased units meet ENERGY STAR V3.0 specifications,</w:t>
      </w:r>
      <w:r w:rsidR="001818D0" w:rsidRPr="003B7741">
        <w:rPr>
          <w:szCs w:val="24"/>
        </w:rPr>
        <w:t xml:space="preserve"> may limit a program’s claimable savings because it will likely result in high market saturation. </w:t>
      </w:r>
      <w:r w:rsidRPr="003B7741">
        <w:rPr>
          <w:szCs w:val="24"/>
        </w:rPr>
        <w:t xml:space="preserve">However, the emergence of a new ENERGY STAR STB specification, due to </w:t>
      </w:r>
      <w:r w:rsidR="001818D0" w:rsidRPr="003B7741">
        <w:rPr>
          <w:szCs w:val="24"/>
        </w:rPr>
        <w:t>come</w:t>
      </w:r>
      <w:r w:rsidRPr="003B7741">
        <w:rPr>
          <w:szCs w:val="24"/>
        </w:rPr>
        <w:t xml:space="preserve"> in</w:t>
      </w:r>
      <w:r w:rsidR="001818D0" w:rsidRPr="003B7741">
        <w:rPr>
          <w:szCs w:val="24"/>
        </w:rPr>
        <w:t>to</w:t>
      </w:r>
      <w:r w:rsidRPr="003B7741">
        <w:rPr>
          <w:szCs w:val="24"/>
        </w:rPr>
        <w:t xml:space="preserve"> effect in December 2014, may </w:t>
      </w:r>
      <w:r w:rsidR="001818D0" w:rsidRPr="003B7741">
        <w:rPr>
          <w:szCs w:val="24"/>
        </w:rPr>
        <w:t>still offer a benchmark of savings to leverage</w:t>
      </w:r>
      <w:r w:rsidRPr="003B7741">
        <w:rPr>
          <w:szCs w:val="24"/>
        </w:rPr>
        <w:t>.</w:t>
      </w:r>
    </w:p>
    <w:p w14:paraId="0DD42E8A" w14:textId="77777777" w:rsidR="006A67D3" w:rsidRPr="00CE518C" w:rsidRDefault="006A67D3" w:rsidP="006A67D3">
      <w:pPr>
        <w:pStyle w:val="CommentText"/>
        <w:numPr>
          <w:ilvl w:val="0"/>
          <w:numId w:val="35"/>
        </w:numPr>
        <w:spacing w:line="276" w:lineRule="auto"/>
        <w:rPr>
          <w:sz w:val="24"/>
          <w:szCs w:val="24"/>
        </w:rPr>
      </w:pPr>
      <w:r w:rsidRPr="00CE518C">
        <w:rPr>
          <w:sz w:val="24"/>
          <w:szCs w:val="24"/>
        </w:rPr>
        <w:t xml:space="preserve">Customers </w:t>
      </w:r>
      <w:r w:rsidR="00DC7838">
        <w:rPr>
          <w:sz w:val="24"/>
          <w:szCs w:val="24"/>
        </w:rPr>
        <w:t>might</w:t>
      </w:r>
      <w:r w:rsidRPr="00CE518C">
        <w:rPr>
          <w:sz w:val="24"/>
          <w:szCs w:val="24"/>
        </w:rPr>
        <w:t xml:space="preserve"> not take advantage of </w:t>
      </w:r>
      <w:r w:rsidR="00EC3B52">
        <w:rPr>
          <w:sz w:val="24"/>
          <w:szCs w:val="24"/>
        </w:rPr>
        <w:t xml:space="preserve">available </w:t>
      </w:r>
      <w:r w:rsidRPr="00CE518C">
        <w:rPr>
          <w:sz w:val="24"/>
          <w:szCs w:val="24"/>
        </w:rPr>
        <w:t>energy efficiency features even if the media service provider or manufacturer sets energy</w:t>
      </w:r>
      <w:r w:rsidR="00EC3B52">
        <w:rPr>
          <w:sz w:val="24"/>
          <w:szCs w:val="24"/>
        </w:rPr>
        <w:t>-</w:t>
      </w:r>
      <w:r w:rsidRPr="00CE518C">
        <w:rPr>
          <w:sz w:val="24"/>
          <w:szCs w:val="24"/>
        </w:rPr>
        <w:t>saving settings as defaults (</w:t>
      </w:r>
      <w:r w:rsidR="00EC3B52">
        <w:rPr>
          <w:sz w:val="24"/>
          <w:szCs w:val="24"/>
        </w:rPr>
        <w:t xml:space="preserve">e.g., customers may </w:t>
      </w:r>
      <w:r w:rsidRPr="00CE518C">
        <w:rPr>
          <w:sz w:val="24"/>
          <w:szCs w:val="24"/>
        </w:rPr>
        <w:t>select higher</w:t>
      </w:r>
      <w:r w:rsidR="00EC3B52">
        <w:rPr>
          <w:sz w:val="24"/>
          <w:szCs w:val="24"/>
        </w:rPr>
        <w:t>-</w:t>
      </w:r>
      <w:r w:rsidRPr="00CE518C">
        <w:rPr>
          <w:sz w:val="24"/>
          <w:szCs w:val="24"/>
        </w:rPr>
        <w:t xml:space="preserve">consuming settings). It is difficult for efficiency programs to monitor </w:t>
      </w:r>
      <w:r w:rsidR="008A6BF4">
        <w:rPr>
          <w:sz w:val="24"/>
          <w:szCs w:val="24"/>
        </w:rPr>
        <w:t xml:space="preserve">such </w:t>
      </w:r>
      <w:r w:rsidRPr="00CE518C">
        <w:rPr>
          <w:sz w:val="24"/>
          <w:szCs w:val="24"/>
        </w:rPr>
        <w:t>behaviors and reliably determine the savings resulting from program efforts.</w:t>
      </w:r>
    </w:p>
    <w:p w14:paraId="200A1596" w14:textId="77777777" w:rsidR="006A67D3" w:rsidRPr="003B7741" w:rsidRDefault="006A67D3" w:rsidP="003B7741">
      <w:pPr>
        <w:pStyle w:val="ListParagraph"/>
        <w:numPr>
          <w:ilvl w:val="0"/>
          <w:numId w:val="35"/>
        </w:numPr>
        <w:rPr>
          <w:szCs w:val="24"/>
        </w:rPr>
      </w:pPr>
      <w:r w:rsidRPr="003B7741">
        <w:rPr>
          <w:szCs w:val="24"/>
        </w:rPr>
        <w:t>It may not be within consumers’ power to opt for energy</w:t>
      </w:r>
      <w:r w:rsidR="00070C42">
        <w:rPr>
          <w:szCs w:val="24"/>
        </w:rPr>
        <w:t>-</w:t>
      </w:r>
      <w:r w:rsidRPr="003B7741">
        <w:rPr>
          <w:szCs w:val="24"/>
        </w:rPr>
        <w:t>efficient STB models or engage in energy</w:t>
      </w:r>
      <w:r w:rsidR="00070C42">
        <w:rPr>
          <w:szCs w:val="24"/>
        </w:rPr>
        <w:t>-</w:t>
      </w:r>
      <w:r w:rsidRPr="003B7741">
        <w:rPr>
          <w:szCs w:val="24"/>
        </w:rPr>
        <w:t>saving behaviors (turning devices off when not in use) despite program efforts to encourage them (through incentives or education)</w:t>
      </w:r>
      <w:r w:rsidR="00070C42">
        <w:rPr>
          <w:szCs w:val="24"/>
        </w:rPr>
        <w:t>.</w:t>
      </w:r>
      <w:r w:rsidRPr="003B7741">
        <w:rPr>
          <w:szCs w:val="24"/>
        </w:rPr>
        <w:t xml:space="preserve"> In some cases, media service providers can offset the efficiency of an STB unit through increases in consumption that are en</w:t>
      </w:r>
      <w:r w:rsidR="00DA2504" w:rsidRPr="003B7741">
        <w:rPr>
          <w:szCs w:val="24"/>
        </w:rPr>
        <w:t>abled through software updates.</w:t>
      </w:r>
    </w:p>
    <w:p w14:paraId="3DEAF0D6" w14:textId="05AA8899" w:rsidR="00DC7838" w:rsidRPr="003B7741" w:rsidRDefault="003B7741" w:rsidP="00DC7838">
      <w:pPr>
        <w:pStyle w:val="CommentText"/>
        <w:numPr>
          <w:ilvl w:val="1"/>
          <w:numId w:val="35"/>
        </w:numPr>
        <w:spacing w:line="276" w:lineRule="auto"/>
        <w:rPr>
          <w:sz w:val="24"/>
          <w:szCs w:val="24"/>
        </w:rPr>
      </w:pPr>
      <w:r w:rsidRPr="003B7741">
        <w:rPr>
          <w:b/>
          <w:sz w:val="24"/>
          <w:szCs w:val="24"/>
        </w:rPr>
        <w:t>Recommendation:</w:t>
      </w:r>
      <w:r w:rsidRPr="003B7741">
        <w:rPr>
          <w:sz w:val="24"/>
          <w:szCs w:val="24"/>
        </w:rPr>
        <w:t xml:space="preserve"> Addressing STBs through end-user incentives may be inappropriate.</w:t>
      </w:r>
      <w:r>
        <w:rPr>
          <w:sz w:val="24"/>
          <w:szCs w:val="24"/>
        </w:rPr>
        <w:t xml:space="preserve"> </w:t>
      </w:r>
      <w:r w:rsidRPr="003B7741">
        <w:rPr>
          <w:sz w:val="24"/>
          <w:szCs w:val="24"/>
        </w:rPr>
        <w:t>If program efforts address STBs through incentives for the purchase</w:t>
      </w:r>
      <w:r>
        <w:rPr>
          <w:sz w:val="24"/>
          <w:szCs w:val="24"/>
        </w:rPr>
        <w:t>, sale, or deployment</w:t>
      </w:r>
      <w:r w:rsidRPr="003B7741">
        <w:rPr>
          <w:sz w:val="24"/>
          <w:szCs w:val="24"/>
        </w:rPr>
        <w:t xml:space="preserve"> of energy</w:t>
      </w:r>
      <w:r w:rsidR="00070C42">
        <w:rPr>
          <w:sz w:val="24"/>
          <w:szCs w:val="24"/>
        </w:rPr>
        <w:t>-</w:t>
      </w:r>
      <w:r w:rsidRPr="003B7741">
        <w:rPr>
          <w:sz w:val="24"/>
          <w:szCs w:val="24"/>
        </w:rPr>
        <w:t xml:space="preserve">efficient models, program designers might benefit from requiring rigorous energy efficiency requirements above ENERGY STAR </w:t>
      </w:r>
      <w:r w:rsidR="0019314E" w:rsidRPr="003B7741">
        <w:rPr>
          <w:sz w:val="24"/>
          <w:szCs w:val="24"/>
        </w:rPr>
        <w:t>V</w:t>
      </w:r>
      <w:r w:rsidR="0019314E">
        <w:rPr>
          <w:sz w:val="24"/>
          <w:szCs w:val="24"/>
        </w:rPr>
        <w:t>4</w:t>
      </w:r>
      <w:r w:rsidRPr="003B7741">
        <w:rPr>
          <w:sz w:val="24"/>
          <w:szCs w:val="24"/>
        </w:rPr>
        <w:t xml:space="preserve">.0 criteria. </w:t>
      </w:r>
    </w:p>
    <w:p w14:paraId="7926174F" w14:textId="77777777" w:rsidR="006A67D3" w:rsidRPr="008351DE" w:rsidRDefault="006A67D3" w:rsidP="006A67D3">
      <w:pPr>
        <w:pStyle w:val="Heading2"/>
      </w:pPr>
      <w:bookmarkStart w:id="92" w:name="_Toc399859741"/>
      <w:bookmarkStart w:id="93" w:name="_Toc399859799"/>
      <w:bookmarkStart w:id="94" w:name="_Toc399860144"/>
      <w:bookmarkStart w:id="95" w:name="_Toc399946333"/>
      <w:bookmarkStart w:id="96" w:name="_Toc401667859"/>
      <w:bookmarkEnd w:id="92"/>
      <w:bookmarkEnd w:id="93"/>
      <w:bookmarkEnd w:id="94"/>
      <w:bookmarkEnd w:id="95"/>
      <w:r w:rsidRPr="008351DE">
        <w:t>Personal Computers</w:t>
      </w:r>
      <w:bookmarkEnd w:id="96"/>
    </w:p>
    <w:p w14:paraId="07203C34" w14:textId="143B9EB7" w:rsidR="006A67D3" w:rsidRDefault="006A67D3" w:rsidP="006A67D3">
      <w:pPr>
        <w:pStyle w:val="CommentText"/>
        <w:numPr>
          <w:ilvl w:val="0"/>
          <w:numId w:val="35"/>
        </w:numPr>
        <w:spacing w:line="276" w:lineRule="auto"/>
        <w:rPr>
          <w:sz w:val="24"/>
          <w:szCs w:val="24"/>
        </w:rPr>
      </w:pPr>
      <w:r w:rsidRPr="00CE518C">
        <w:rPr>
          <w:b/>
          <w:szCs w:val="24"/>
        </w:rPr>
        <w:t xml:space="preserve">Estimated </w:t>
      </w:r>
      <w:r>
        <w:rPr>
          <w:b/>
          <w:szCs w:val="24"/>
        </w:rPr>
        <w:t>PC</w:t>
      </w:r>
      <w:r w:rsidRPr="00CE518C">
        <w:rPr>
          <w:b/>
          <w:szCs w:val="24"/>
        </w:rPr>
        <w:t xml:space="preserve"> Savings.</w:t>
      </w:r>
      <w:r w:rsidRPr="00CE518C">
        <w:rPr>
          <w:szCs w:val="24"/>
        </w:rPr>
        <w:t xml:space="preserve"> </w:t>
      </w:r>
      <w:r w:rsidR="003B7741">
        <w:rPr>
          <w:szCs w:val="24"/>
        </w:rPr>
        <w:t>The e</w:t>
      </w:r>
      <w:r>
        <w:rPr>
          <w:szCs w:val="24"/>
        </w:rPr>
        <w:t>nergy</w:t>
      </w:r>
      <w:r w:rsidR="008E0437">
        <w:rPr>
          <w:szCs w:val="24"/>
        </w:rPr>
        <w:t>-</w:t>
      </w:r>
      <w:r>
        <w:rPr>
          <w:szCs w:val="24"/>
        </w:rPr>
        <w:t xml:space="preserve">saving measures that the team examined </w:t>
      </w:r>
      <w:r w:rsidR="008E0437">
        <w:rPr>
          <w:szCs w:val="24"/>
        </w:rPr>
        <w:t xml:space="preserve">for PCs </w:t>
      </w:r>
      <w:r>
        <w:rPr>
          <w:szCs w:val="24"/>
        </w:rPr>
        <w:t xml:space="preserve">could increase PC UEC </w:t>
      </w:r>
      <w:r w:rsidR="003B7741">
        <w:rPr>
          <w:szCs w:val="24"/>
        </w:rPr>
        <w:t xml:space="preserve">efficiency </w:t>
      </w:r>
      <w:r>
        <w:rPr>
          <w:szCs w:val="24"/>
        </w:rPr>
        <w:t xml:space="preserve">by 12% </w:t>
      </w:r>
      <w:r w:rsidR="008E0437">
        <w:rPr>
          <w:szCs w:val="24"/>
        </w:rPr>
        <w:t>to</w:t>
      </w:r>
      <w:r>
        <w:rPr>
          <w:szCs w:val="24"/>
        </w:rPr>
        <w:t xml:space="preserve"> 80%. Two measures that could be implemented in the near</w:t>
      </w:r>
      <w:r w:rsidR="008E0437">
        <w:rPr>
          <w:szCs w:val="24"/>
        </w:rPr>
        <w:t xml:space="preserve"> </w:t>
      </w:r>
      <w:r>
        <w:rPr>
          <w:szCs w:val="24"/>
        </w:rPr>
        <w:t>term stood out as the highest</w:t>
      </w:r>
      <w:r w:rsidR="008E0437">
        <w:rPr>
          <w:szCs w:val="24"/>
        </w:rPr>
        <w:t>-</w:t>
      </w:r>
      <w:r>
        <w:rPr>
          <w:szCs w:val="24"/>
        </w:rPr>
        <w:t>saving measures</w:t>
      </w:r>
      <w:r w:rsidR="008E0437">
        <w:rPr>
          <w:szCs w:val="24"/>
        </w:rPr>
        <w:t>.</w:t>
      </w:r>
      <w:r w:rsidRPr="00107A6A">
        <w:rPr>
          <w:sz w:val="24"/>
          <w:szCs w:val="24"/>
        </w:rPr>
        <w:t>Optimizing</w:t>
      </w:r>
      <w:r w:rsidRPr="00CE518C">
        <w:rPr>
          <w:sz w:val="24"/>
          <w:szCs w:val="24"/>
        </w:rPr>
        <w:t xml:space="preserve"> power management </w:t>
      </w:r>
      <w:r w:rsidRPr="00107A6A">
        <w:rPr>
          <w:sz w:val="24"/>
          <w:szCs w:val="24"/>
        </w:rPr>
        <w:t>settings</w:t>
      </w:r>
      <w:r w:rsidRPr="00CE518C">
        <w:rPr>
          <w:sz w:val="24"/>
          <w:szCs w:val="24"/>
        </w:rPr>
        <w:t xml:space="preserve"> for the installed base of desktop PCs</w:t>
      </w:r>
      <w:r w:rsidR="003B7741">
        <w:rPr>
          <w:sz w:val="24"/>
          <w:szCs w:val="24"/>
        </w:rPr>
        <w:t xml:space="preserve"> </w:t>
      </w:r>
      <w:r w:rsidRPr="00107A6A">
        <w:rPr>
          <w:sz w:val="24"/>
          <w:szCs w:val="24"/>
        </w:rPr>
        <w:t>c</w:t>
      </w:r>
      <w:r w:rsidRPr="00CE518C">
        <w:rPr>
          <w:sz w:val="24"/>
          <w:szCs w:val="24"/>
        </w:rPr>
        <w:t>ould possibly result in savings of 144</w:t>
      </w:r>
      <w:r w:rsidR="008E0437">
        <w:rPr>
          <w:sz w:val="24"/>
          <w:szCs w:val="24"/>
        </w:rPr>
        <w:t xml:space="preserve"> </w:t>
      </w:r>
      <w:r w:rsidRPr="00CE518C">
        <w:rPr>
          <w:sz w:val="24"/>
          <w:szCs w:val="24"/>
        </w:rPr>
        <w:t xml:space="preserve">kWh/year among installed desktop </w:t>
      </w:r>
      <w:r w:rsidRPr="00CE518C">
        <w:rPr>
          <w:sz w:val="24"/>
          <w:szCs w:val="24"/>
        </w:rPr>
        <w:lastRenderedPageBreak/>
        <w:t>PCs</w:t>
      </w:r>
      <w:r w:rsidR="003B7741">
        <w:rPr>
          <w:sz w:val="24"/>
          <w:szCs w:val="24"/>
        </w:rPr>
        <w:t>. I</w:t>
      </w:r>
      <w:r>
        <w:rPr>
          <w:sz w:val="24"/>
          <w:szCs w:val="24"/>
        </w:rPr>
        <w:t xml:space="preserve">f successfully implemented, it could have the technical potential to save </w:t>
      </w:r>
      <w:r w:rsidRPr="00B600E6">
        <w:rPr>
          <w:sz w:val="24"/>
          <w:szCs w:val="24"/>
        </w:rPr>
        <w:t>43.4</w:t>
      </w:r>
      <w:r w:rsidR="008E0437">
        <w:rPr>
          <w:sz w:val="24"/>
          <w:szCs w:val="24"/>
        </w:rPr>
        <w:t xml:space="preserve"> </w:t>
      </w:r>
      <w:r w:rsidRPr="00B600E6">
        <w:rPr>
          <w:sz w:val="24"/>
          <w:szCs w:val="24"/>
        </w:rPr>
        <w:t>GWh/year</w:t>
      </w:r>
      <w:r>
        <w:rPr>
          <w:sz w:val="24"/>
          <w:szCs w:val="24"/>
        </w:rPr>
        <w:t xml:space="preserve"> in Connecticut as a whole</w:t>
      </w:r>
      <w:r w:rsidRPr="00CE518C">
        <w:rPr>
          <w:sz w:val="24"/>
          <w:szCs w:val="24"/>
        </w:rPr>
        <w:t xml:space="preserve">. </w:t>
      </w:r>
    </w:p>
    <w:p w14:paraId="7AB2548E" w14:textId="77777777" w:rsidR="006A67D3" w:rsidRPr="00B040F2" w:rsidRDefault="006A67D3" w:rsidP="006A67D3">
      <w:pPr>
        <w:pStyle w:val="CommentText"/>
        <w:numPr>
          <w:ilvl w:val="1"/>
          <w:numId w:val="29"/>
        </w:numPr>
        <w:spacing w:line="276" w:lineRule="auto"/>
        <w:rPr>
          <w:sz w:val="24"/>
          <w:szCs w:val="24"/>
        </w:rPr>
      </w:pPr>
      <w:r w:rsidRPr="00B040F2">
        <w:rPr>
          <w:b/>
          <w:sz w:val="24"/>
          <w:szCs w:val="24"/>
        </w:rPr>
        <w:t>Recommendation:</w:t>
      </w:r>
      <w:r w:rsidRPr="00B040F2">
        <w:rPr>
          <w:sz w:val="24"/>
          <w:szCs w:val="24"/>
        </w:rPr>
        <w:t xml:space="preserve"> The EEB may wish to explore using campaigns to educate consumers on optimizing power management and/or use direct installation efforts, perhaps as part of a home energy audit visit for another program.</w:t>
      </w:r>
    </w:p>
    <w:p w14:paraId="2E6E96F9" w14:textId="61EE59EF" w:rsidR="005C3223" w:rsidRDefault="005C3223" w:rsidP="005C3223">
      <w:pPr>
        <w:pStyle w:val="CommentText"/>
        <w:numPr>
          <w:ilvl w:val="0"/>
          <w:numId w:val="29"/>
        </w:numPr>
        <w:spacing w:line="276" w:lineRule="auto"/>
        <w:rPr>
          <w:sz w:val="24"/>
          <w:szCs w:val="24"/>
        </w:rPr>
      </w:pPr>
      <w:r w:rsidRPr="00107A6A">
        <w:rPr>
          <w:sz w:val="24"/>
          <w:szCs w:val="24"/>
        </w:rPr>
        <w:t xml:space="preserve">Selecting models labeled by ENERGY STAR showed great promise. For example, </w:t>
      </w:r>
      <w:r>
        <w:rPr>
          <w:sz w:val="24"/>
          <w:szCs w:val="24"/>
        </w:rPr>
        <w:t>ENERGY STAR desktop</w:t>
      </w:r>
      <w:r w:rsidRPr="00CE518C">
        <w:rPr>
          <w:sz w:val="24"/>
          <w:szCs w:val="24"/>
        </w:rPr>
        <w:t xml:space="preserve"> </w:t>
      </w:r>
      <w:r>
        <w:rPr>
          <w:sz w:val="24"/>
          <w:szCs w:val="24"/>
        </w:rPr>
        <w:t xml:space="preserve">PC </w:t>
      </w:r>
      <w:r w:rsidRPr="00CE518C">
        <w:rPr>
          <w:sz w:val="24"/>
          <w:szCs w:val="24"/>
        </w:rPr>
        <w:t xml:space="preserve">models offered </w:t>
      </w:r>
      <w:r>
        <w:rPr>
          <w:sz w:val="24"/>
          <w:szCs w:val="24"/>
        </w:rPr>
        <w:t xml:space="preserve">77 kWh/year in </w:t>
      </w:r>
      <w:r w:rsidRPr="00CE518C">
        <w:rPr>
          <w:sz w:val="24"/>
          <w:szCs w:val="24"/>
        </w:rPr>
        <w:t xml:space="preserve">savings over standard </w:t>
      </w:r>
      <w:r>
        <w:rPr>
          <w:sz w:val="24"/>
          <w:szCs w:val="24"/>
        </w:rPr>
        <w:t xml:space="preserve">desktop </w:t>
      </w:r>
      <w:r w:rsidRPr="00CE518C">
        <w:rPr>
          <w:sz w:val="24"/>
          <w:szCs w:val="24"/>
        </w:rPr>
        <w:t>PC models</w:t>
      </w:r>
      <w:r>
        <w:rPr>
          <w:sz w:val="24"/>
          <w:szCs w:val="24"/>
        </w:rPr>
        <w:t>.</w:t>
      </w:r>
      <w:r w:rsidRPr="00CE518C">
        <w:rPr>
          <w:sz w:val="24"/>
          <w:szCs w:val="24"/>
        </w:rPr>
        <w:t xml:space="preserve"> </w:t>
      </w:r>
    </w:p>
    <w:p w14:paraId="63A289CC" w14:textId="755DDFF7" w:rsidR="005C3223" w:rsidRPr="00CE518C" w:rsidRDefault="005C3223" w:rsidP="005C3223">
      <w:pPr>
        <w:pStyle w:val="CommentText"/>
        <w:numPr>
          <w:ilvl w:val="1"/>
          <w:numId w:val="29"/>
        </w:numPr>
        <w:spacing w:line="276" w:lineRule="auto"/>
        <w:rPr>
          <w:sz w:val="24"/>
          <w:szCs w:val="24"/>
        </w:rPr>
      </w:pPr>
      <w:r w:rsidRPr="00CE518C">
        <w:rPr>
          <w:b/>
          <w:sz w:val="24"/>
          <w:szCs w:val="24"/>
        </w:rPr>
        <w:t>Recommendation:</w:t>
      </w:r>
      <w:r w:rsidRPr="00CE518C">
        <w:rPr>
          <w:sz w:val="24"/>
          <w:szCs w:val="24"/>
        </w:rPr>
        <w:t xml:space="preserve"> </w:t>
      </w:r>
      <w:r>
        <w:rPr>
          <w:sz w:val="24"/>
          <w:szCs w:val="24"/>
        </w:rPr>
        <w:t>Consider</w:t>
      </w:r>
      <w:r w:rsidRPr="00CE518C">
        <w:rPr>
          <w:sz w:val="24"/>
          <w:szCs w:val="24"/>
        </w:rPr>
        <w:t xml:space="preserve"> offering </w:t>
      </w:r>
      <w:r>
        <w:rPr>
          <w:sz w:val="24"/>
          <w:szCs w:val="24"/>
        </w:rPr>
        <w:t xml:space="preserve">incentives to </w:t>
      </w:r>
      <w:r w:rsidRPr="00CE518C">
        <w:rPr>
          <w:sz w:val="24"/>
          <w:szCs w:val="24"/>
        </w:rPr>
        <w:t xml:space="preserve">end-users, retailers, and distributors </w:t>
      </w:r>
      <w:r>
        <w:rPr>
          <w:sz w:val="24"/>
          <w:szCs w:val="24"/>
        </w:rPr>
        <w:t>for</w:t>
      </w:r>
      <w:r w:rsidRPr="00CE518C">
        <w:rPr>
          <w:sz w:val="24"/>
          <w:szCs w:val="24"/>
        </w:rPr>
        <w:t xml:space="preserve"> </w:t>
      </w:r>
      <w:r>
        <w:rPr>
          <w:sz w:val="24"/>
          <w:szCs w:val="24"/>
        </w:rPr>
        <w:t>ENERGY STAR</w:t>
      </w:r>
      <w:r w:rsidRPr="00CE518C">
        <w:rPr>
          <w:sz w:val="24"/>
          <w:szCs w:val="24"/>
        </w:rPr>
        <w:t xml:space="preserve"> </w:t>
      </w:r>
      <w:r w:rsidR="0019314E">
        <w:rPr>
          <w:sz w:val="24"/>
          <w:szCs w:val="24"/>
        </w:rPr>
        <w:t xml:space="preserve">models </w:t>
      </w:r>
      <w:r>
        <w:rPr>
          <w:sz w:val="24"/>
          <w:szCs w:val="24"/>
        </w:rPr>
        <w:t>(or models percentages greater in efficiency than ENERGY STAR)</w:t>
      </w:r>
      <w:r w:rsidRPr="00CE518C">
        <w:rPr>
          <w:sz w:val="24"/>
          <w:szCs w:val="24"/>
        </w:rPr>
        <w:t>.</w:t>
      </w:r>
    </w:p>
    <w:p w14:paraId="2662B83C" w14:textId="77777777" w:rsidR="00C95E20" w:rsidRPr="003B7741" w:rsidRDefault="00C95E20" w:rsidP="006A67D3">
      <w:pPr>
        <w:rPr>
          <w:b/>
          <w:szCs w:val="24"/>
        </w:rPr>
      </w:pPr>
    </w:p>
    <w:p w14:paraId="344297F6" w14:textId="77777777" w:rsidR="003B7741" w:rsidRPr="003B7741" w:rsidRDefault="003B7741" w:rsidP="003B7741">
      <w:pPr>
        <w:pStyle w:val="CommentText"/>
        <w:spacing w:line="276" w:lineRule="auto"/>
        <w:rPr>
          <w:sz w:val="24"/>
          <w:szCs w:val="24"/>
        </w:rPr>
      </w:pPr>
      <w:r w:rsidRPr="003B7741">
        <w:rPr>
          <w:b/>
          <w:sz w:val="24"/>
          <w:szCs w:val="24"/>
        </w:rPr>
        <w:t>PC Market Dynamics</w:t>
      </w:r>
      <w:r w:rsidR="006A67D3" w:rsidRPr="003B7741">
        <w:rPr>
          <w:b/>
          <w:sz w:val="24"/>
          <w:szCs w:val="24"/>
        </w:rPr>
        <w:t>.</w:t>
      </w:r>
      <w:r w:rsidR="006A67D3" w:rsidRPr="003B7741">
        <w:rPr>
          <w:sz w:val="24"/>
          <w:szCs w:val="24"/>
        </w:rPr>
        <w:t xml:space="preserve"> </w:t>
      </w:r>
      <w:r w:rsidRPr="003B7741">
        <w:rPr>
          <w:sz w:val="24"/>
          <w:szCs w:val="24"/>
        </w:rPr>
        <w:t>Some market dynamics may indicate that addressing PCs is not prudent in terms of claimable savings and market barriers.</w:t>
      </w:r>
    </w:p>
    <w:p w14:paraId="79CC7AC0" w14:textId="77777777" w:rsidR="003B7741" w:rsidRPr="003B7741" w:rsidRDefault="006A67D3" w:rsidP="003B7741">
      <w:pPr>
        <w:pStyle w:val="CommentText"/>
        <w:numPr>
          <w:ilvl w:val="0"/>
          <w:numId w:val="35"/>
        </w:numPr>
        <w:spacing w:line="276" w:lineRule="auto"/>
        <w:rPr>
          <w:sz w:val="24"/>
          <w:szCs w:val="24"/>
        </w:rPr>
      </w:pPr>
      <w:r w:rsidRPr="003B7741">
        <w:rPr>
          <w:sz w:val="24"/>
          <w:szCs w:val="24"/>
        </w:rPr>
        <w:t xml:space="preserve">First, laptop PC models are becoming increasingly efficient, possibly resulting in limited program claimable savings. </w:t>
      </w:r>
    </w:p>
    <w:p w14:paraId="348E1568" w14:textId="77777777" w:rsidR="003B7741" w:rsidRPr="003B7741" w:rsidRDefault="006A67D3" w:rsidP="003B7741">
      <w:pPr>
        <w:pStyle w:val="CommentText"/>
        <w:numPr>
          <w:ilvl w:val="0"/>
          <w:numId w:val="35"/>
        </w:numPr>
        <w:spacing w:line="276" w:lineRule="auto"/>
        <w:rPr>
          <w:sz w:val="24"/>
          <w:szCs w:val="24"/>
        </w:rPr>
      </w:pPr>
      <w:r w:rsidRPr="003B7741">
        <w:rPr>
          <w:sz w:val="24"/>
          <w:szCs w:val="24"/>
        </w:rPr>
        <w:t xml:space="preserve">Second, increases in cloud computing may reduce home PC energy consumption by shifting power requirements to data centers, </w:t>
      </w:r>
      <w:r w:rsidR="00F72B11">
        <w:rPr>
          <w:sz w:val="24"/>
          <w:szCs w:val="24"/>
        </w:rPr>
        <w:t xml:space="preserve">thus </w:t>
      </w:r>
      <w:r w:rsidRPr="003B7741">
        <w:rPr>
          <w:sz w:val="24"/>
          <w:szCs w:val="24"/>
        </w:rPr>
        <w:t>making end-user incentive programs obsolete.</w:t>
      </w:r>
      <w:r w:rsidR="003B7741" w:rsidRPr="003B7741">
        <w:rPr>
          <w:sz w:val="24"/>
          <w:szCs w:val="24"/>
        </w:rPr>
        <w:t xml:space="preserve"> </w:t>
      </w:r>
    </w:p>
    <w:p w14:paraId="49D801C9" w14:textId="77777777" w:rsidR="006A67D3" w:rsidRPr="003B7741" w:rsidRDefault="003B7741" w:rsidP="003B7741">
      <w:pPr>
        <w:pStyle w:val="CommentText"/>
        <w:numPr>
          <w:ilvl w:val="0"/>
          <w:numId w:val="35"/>
        </w:numPr>
        <w:spacing w:line="276" w:lineRule="auto"/>
        <w:rPr>
          <w:szCs w:val="24"/>
        </w:rPr>
      </w:pPr>
      <w:r w:rsidRPr="003B7741">
        <w:rPr>
          <w:sz w:val="24"/>
          <w:szCs w:val="24"/>
        </w:rPr>
        <w:t>Laptop PC sales are increasing as desktop PC sales decline. As such, targeting desktop PCs may quickly become irrelevant and result in low participation rates.</w:t>
      </w:r>
    </w:p>
    <w:p w14:paraId="7EC94F09" w14:textId="77777777" w:rsidR="006A67D3" w:rsidRPr="00CE518C" w:rsidRDefault="006A67D3" w:rsidP="006A67D3">
      <w:pPr>
        <w:pStyle w:val="CommentText"/>
        <w:numPr>
          <w:ilvl w:val="1"/>
          <w:numId w:val="35"/>
        </w:numPr>
        <w:spacing w:line="276" w:lineRule="auto"/>
        <w:rPr>
          <w:sz w:val="24"/>
          <w:szCs w:val="24"/>
        </w:rPr>
      </w:pPr>
      <w:r w:rsidRPr="00CE518C">
        <w:rPr>
          <w:b/>
          <w:sz w:val="24"/>
          <w:szCs w:val="24"/>
        </w:rPr>
        <w:t>Recommendation:</w:t>
      </w:r>
      <w:r w:rsidRPr="00CE518C">
        <w:rPr>
          <w:sz w:val="24"/>
          <w:szCs w:val="24"/>
        </w:rPr>
        <w:t xml:space="preserve"> </w:t>
      </w:r>
      <w:r w:rsidR="006D2FDE">
        <w:rPr>
          <w:sz w:val="24"/>
          <w:szCs w:val="24"/>
        </w:rPr>
        <w:t>Despite sizable UEC and household-level savings</w:t>
      </w:r>
      <w:r>
        <w:rPr>
          <w:sz w:val="24"/>
          <w:szCs w:val="24"/>
        </w:rPr>
        <w:t xml:space="preserve">, </w:t>
      </w:r>
      <w:r w:rsidR="00F93D53">
        <w:rPr>
          <w:sz w:val="24"/>
          <w:szCs w:val="24"/>
        </w:rPr>
        <w:t>the EEB</w:t>
      </w:r>
      <w:r w:rsidRPr="00CE518C">
        <w:rPr>
          <w:sz w:val="24"/>
          <w:szCs w:val="24"/>
        </w:rPr>
        <w:t xml:space="preserve"> might consider that </w:t>
      </w:r>
      <w:r w:rsidR="008B0DE0">
        <w:rPr>
          <w:sz w:val="24"/>
          <w:szCs w:val="24"/>
        </w:rPr>
        <w:t xml:space="preserve">these </w:t>
      </w:r>
      <w:r w:rsidRPr="00CE518C">
        <w:rPr>
          <w:sz w:val="24"/>
          <w:szCs w:val="24"/>
        </w:rPr>
        <w:t xml:space="preserve">factors </w:t>
      </w:r>
      <w:r w:rsidR="006C5A8A">
        <w:rPr>
          <w:sz w:val="24"/>
          <w:szCs w:val="24"/>
        </w:rPr>
        <w:t>among others</w:t>
      </w:r>
      <w:r w:rsidRPr="00CE518C">
        <w:rPr>
          <w:sz w:val="24"/>
          <w:szCs w:val="24"/>
        </w:rPr>
        <w:t xml:space="preserve"> can present barriers to claiming</w:t>
      </w:r>
      <w:r>
        <w:rPr>
          <w:sz w:val="24"/>
          <w:szCs w:val="24"/>
        </w:rPr>
        <w:t xml:space="preserve"> sizable</w:t>
      </w:r>
      <w:r w:rsidRPr="00CE518C">
        <w:rPr>
          <w:sz w:val="24"/>
          <w:szCs w:val="24"/>
        </w:rPr>
        <w:t xml:space="preserve"> program savings</w:t>
      </w:r>
      <w:r w:rsidR="006D2FDE">
        <w:rPr>
          <w:sz w:val="24"/>
          <w:szCs w:val="24"/>
        </w:rPr>
        <w:t xml:space="preserve"> and achieving adequate participation rates</w:t>
      </w:r>
      <w:r w:rsidRPr="00CE518C">
        <w:rPr>
          <w:sz w:val="24"/>
          <w:szCs w:val="24"/>
        </w:rPr>
        <w:t>.</w:t>
      </w:r>
      <w:r w:rsidR="006D2FDE">
        <w:rPr>
          <w:sz w:val="24"/>
          <w:szCs w:val="24"/>
        </w:rPr>
        <w:t xml:space="preserve"> </w:t>
      </w:r>
    </w:p>
    <w:p w14:paraId="0BEA165E" w14:textId="77777777" w:rsidR="006A67D3" w:rsidRPr="008351DE" w:rsidRDefault="006A67D3" w:rsidP="006A67D3">
      <w:pPr>
        <w:pStyle w:val="Heading2"/>
      </w:pPr>
      <w:bookmarkStart w:id="97" w:name="_Toc399859743"/>
      <w:bookmarkStart w:id="98" w:name="_Toc399859801"/>
      <w:bookmarkStart w:id="99" w:name="_Toc399860146"/>
      <w:bookmarkStart w:id="100" w:name="_Toc399946335"/>
      <w:bookmarkStart w:id="101" w:name="_Toc401667860"/>
      <w:bookmarkEnd w:id="97"/>
      <w:bookmarkEnd w:id="98"/>
      <w:bookmarkEnd w:id="99"/>
      <w:bookmarkEnd w:id="100"/>
      <w:r w:rsidRPr="008351DE">
        <w:t>Network Equipment</w:t>
      </w:r>
      <w:bookmarkEnd w:id="101"/>
    </w:p>
    <w:p w14:paraId="2E68BEA2" w14:textId="77777777" w:rsidR="006A67D3" w:rsidRPr="00963DD3" w:rsidRDefault="006A67D3" w:rsidP="006A67D3">
      <w:pPr>
        <w:rPr>
          <w:szCs w:val="24"/>
        </w:rPr>
      </w:pPr>
      <w:r>
        <w:rPr>
          <w:b/>
          <w:szCs w:val="24"/>
        </w:rPr>
        <w:t xml:space="preserve">Estimated </w:t>
      </w:r>
      <w:r w:rsidRPr="00FE300F">
        <w:rPr>
          <w:b/>
          <w:szCs w:val="24"/>
        </w:rPr>
        <w:t>Network Equipment Savings.</w:t>
      </w:r>
      <w:r w:rsidRPr="00FE300F">
        <w:rPr>
          <w:szCs w:val="24"/>
        </w:rPr>
        <w:t xml:space="preserve"> </w:t>
      </w:r>
      <w:r w:rsidR="00963DD3">
        <w:t>Immediate program-relevant measures, like replacing the installed base with equipment that is as efficient as the top 25% of current equipment, have the potential to generate notable savings (34%).</w:t>
      </w:r>
      <w:r w:rsidR="00963DD3">
        <w:rPr>
          <w:szCs w:val="24"/>
        </w:rPr>
        <w:t xml:space="preserve"> </w:t>
      </w:r>
      <w:r>
        <w:t xml:space="preserve">Despite </w:t>
      </w:r>
      <w:r w:rsidR="004515A6">
        <w:t xml:space="preserve">the fact </w:t>
      </w:r>
      <w:r>
        <w:t>that the UEC savings for these network equipment measures are fairly small, ranging from 3</w:t>
      </w:r>
      <w:r w:rsidR="004515A6">
        <w:t xml:space="preserve"> </w:t>
      </w:r>
      <w:r>
        <w:t>kWh/year to 20</w:t>
      </w:r>
      <w:r w:rsidR="004515A6">
        <w:t xml:space="preserve"> </w:t>
      </w:r>
      <w:r>
        <w:t xml:space="preserve">kWh/year, homes with network </w:t>
      </w:r>
      <w:r w:rsidRPr="00963DD3">
        <w:rPr>
          <w:szCs w:val="24"/>
        </w:rPr>
        <w:t xml:space="preserve">equipment </w:t>
      </w:r>
      <w:r w:rsidR="004515A6">
        <w:rPr>
          <w:szCs w:val="24"/>
        </w:rPr>
        <w:t xml:space="preserve">often </w:t>
      </w:r>
      <w:r w:rsidRPr="00963DD3">
        <w:rPr>
          <w:szCs w:val="24"/>
        </w:rPr>
        <w:t>have more than one device—typically</w:t>
      </w:r>
      <w:r w:rsidR="004515A6">
        <w:rPr>
          <w:szCs w:val="24"/>
        </w:rPr>
        <w:t>,</w:t>
      </w:r>
      <w:r w:rsidRPr="00963DD3">
        <w:rPr>
          <w:szCs w:val="24"/>
        </w:rPr>
        <w:t xml:space="preserve"> a modem and router configured together.</w:t>
      </w:r>
      <w:r w:rsidRPr="00963DD3">
        <w:rPr>
          <w:rStyle w:val="FootnoteReference"/>
          <w:szCs w:val="24"/>
        </w:rPr>
        <w:t xml:space="preserve"> </w:t>
      </w:r>
      <w:r w:rsidRPr="00963DD3">
        <w:rPr>
          <w:szCs w:val="24"/>
        </w:rPr>
        <w:t xml:space="preserve">As such, greater savings opportunities are likely present. </w:t>
      </w:r>
    </w:p>
    <w:p w14:paraId="03662652" w14:textId="77777777" w:rsidR="006A67D3" w:rsidRPr="00963DD3" w:rsidRDefault="006A67D3" w:rsidP="006A67D3">
      <w:pPr>
        <w:pStyle w:val="CommentText"/>
        <w:numPr>
          <w:ilvl w:val="1"/>
          <w:numId w:val="35"/>
        </w:numPr>
        <w:spacing w:line="276" w:lineRule="auto"/>
        <w:rPr>
          <w:sz w:val="24"/>
          <w:szCs w:val="24"/>
        </w:rPr>
      </w:pPr>
      <w:r w:rsidRPr="00963DD3">
        <w:rPr>
          <w:b/>
          <w:sz w:val="24"/>
          <w:szCs w:val="24"/>
        </w:rPr>
        <w:t>Recommendation:</w:t>
      </w:r>
      <w:r w:rsidRPr="00963DD3">
        <w:rPr>
          <w:sz w:val="24"/>
          <w:szCs w:val="24"/>
        </w:rPr>
        <w:t xml:space="preserve"> As with measures for other product categories, near-term programmatic strategies could involve running equipment recycling opportunities</w:t>
      </w:r>
      <w:r w:rsidR="00F23ABA">
        <w:rPr>
          <w:sz w:val="24"/>
          <w:szCs w:val="24"/>
        </w:rPr>
        <w:t>,</w:t>
      </w:r>
      <w:r w:rsidRPr="00963DD3">
        <w:rPr>
          <w:sz w:val="24"/>
          <w:szCs w:val="24"/>
        </w:rPr>
        <w:t xml:space="preserve"> offering incentives based on labels</w:t>
      </w:r>
      <w:r w:rsidR="00F23ABA">
        <w:rPr>
          <w:sz w:val="24"/>
          <w:szCs w:val="24"/>
        </w:rPr>
        <w:t>,</w:t>
      </w:r>
      <w:r w:rsidRPr="00963DD3">
        <w:rPr>
          <w:sz w:val="24"/>
          <w:szCs w:val="24"/>
        </w:rPr>
        <w:t xml:space="preserve"> and </w:t>
      </w:r>
      <w:r w:rsidR="00F23ABA">
        <w:rPr>
          <w:sz w:val="24"/>
          <w:szCs w:val="24"/>
        </w:rPr>
        <w:t xml:space="preserve">offering </w:t>
      </w:r>
      <w:r w:rsidRPr="00963DD3">
        <w:rPr>
          <w:sz w:val="24"/>
          <w:szCs w:val="24"/>
        </w:rPr>
        <w:t>recognition programs directed at end-users, retailers, and distributors.</w:t>
      </w:r>
      <w:r w:rsidR="00963DD3" w:rsidRPr="00963DD3">
        <w:rPr>
          <w:sz w:val="24"/>
          <w:szCs w:val="24"/>
        </w:rPr>
        <w:t xml:space="preserve"> </w:t>
      </w:r>
      <w:r w:rsidRPr="00963DD3">
        <w:rPr>
          <w:sz w:val="24"/>
          <w:szCs w:val="24"/>
        </w:rPr>
        <w:t xml:space="preserve">More research </w:t>
      </w:r>
      <w:r w:rsidR="00F23ABA">
        <w:rPr>
          <w:sz w:val="24"/>
          <w:szCs w:val="24"/>
        </w:rPr>
        <w:t>on</w:t>
      </w:r>
      <w:r w:rsidR="00F23ABA" w:rsidRPr="00963DD3">
        <w:rPr>
          <w:sz w:val="24"/>
          <w:szCs w:val="24"/>
        </w:rPr>
        <w:t xml:space="preserve"> </w:t>
      </w:r>
      <w:r w:rsidRPr="00963DD3">
        <w:rPr>
          <w:sz w:val="24"/>
          <w:szCs w:val="24"/>
        </w:rPr>
        <w:t xml:space="preserve">common configurations </w:t>
      </w:r>
      <w:r w:rsidRPr="00963DD3">
        <w:rPr>
          <w:sz w:val="24"/>
          <w:szCs w:val="24"/>
        </w:rPr>
        <w:lastRenderedPageBreak/>
        <w:t>and household usage patterns would be helpful for gaining further insight into the savings opportunities at the household level</w:t>
      </w:r>
      <w:r w:rsidR="00F93D53">
        <w:rPr>
          <w:sz w:val="24"/>
          <w:szCs w:val="24"/>
        </w:rPr>
        <w:t xml:space="preserve"> and </w:t>
      </w:r>
      <w:r w:rsidR="00F23ABA">
        <w:rPr>
          <w:sz w:val="24"/>
          <w:szCs w:val="24"/>
        </w:rPr>
        <w:t xml:space="preserve">in </w:t>
      </w:r>
      <w:r w:rsidR="00F93D53">
        <w:rPr>
          <w:sz w:val="24"/>
          <w:szCs w:val="24"/>
        </w:rPr>
        <w:t>the state as a whole</w:t>
      </w:r>
      <w:r w:rsidRPr="00963DD3">
        <w:rPr>
          <w:sz w:val="24"/>
          <w:szCs w:val="24"/>
        </w:rPr>
        <w:t>. Additionally, further research on network equipment market trends would be particularly useful.</w:t>
      </w:r>
    </w:p>
    <w:p w14:paraId="00D8C6A0" w14:textId="77777777" w:rsidR="006A67D3" w:rsidRPr="008351DE" w:rsidRDefault="006A67D3" w:rsidP="006A67D3">
      <w:pPr>
        <w:pStyle w:val="Heading2"/>
      </w:pPr>
      <w:bookmarkStart w:id="102" w:name="_Toc399859745"/>
      <w:bookmarkStart w:id="103" w:name="_Toc399859803"/>
      <w:bookmarkStart w:id="104" w:name="_Toc399860148"/>
      <w:bookmarkStart w:id="105" w:name="_Toc399946337"/>
      <w:bookmarkStart w:id="106" w:name="_Toc401667861"/>
      <w:bookmarkEnd w:id="102"/>
      <w:bookmarkEnd w:id="103"/>
      <w:bookmarkEnd w:id="104"/>
      <w:bookmarkEnd w:id="105"/>
      <w:r w:rsidRPr="008351DE">
        <w:t>Game Consoles</w:t>
      </w:r>
      <w:bookmarkEnd w:id="106"/>
    </w:p>
    <w:p w14:paraId="17488965" w14:textId="77777777" w:rsidR="006A67D3" w:rsidRPr="00CE518C" w:rsidRDefault="006A67D3" w:rsidP="006A67D3">
      <w:pPr>
        <w:rPr>
          <w:szCs w:val="24"/>
        </w:rPr>
      </w:pPr>
      <w:r>
        <w:rPr>
          <w:b/>
          <w:szCs w:val="24"/>
        </w:rPr>
        <w:t>Estimated Game Console</w:t>
      </w:r>
      <w:r w:rsidRPr="00FE300F">
        <w:rPr>
          <w:b/>
          <w:szCs w:val="24"/>
        </w:rPr>
        <w:t xml:space="preserve"> Savings.</w:t>
      </w:r>
      <w:r w:rsidRPr="00FE300F">
        <w:rPr>
          <w:szCs w:val="24"/>
        </w:rPr>
        <w:t xml:space="preserve"> </w:t>
      </w:r>
      <w:r w:rsidR="00963DD3">
        <w:rPr>
          <w:szCs w:val="24"/>
        </w:rPr>
        <w:t xml:space="preserve">Two measures to increase the efficiency of game consoles that </w:t>
      </w:r>
      <w:r w:rsidRPr="00CE518C">
        <w:rPr>
          <w:szCs w:val="24"/>
        </w:rPr>
        <w:t>could be addressed in the near</w:t>
      </w:r>
      <w:r w:rsidR="00FC79EA">
        <w:rPr>
          <w:szCs w:val="24"/>
        </w:rPr>
        <w:t xml:space="preserve"> </w:t>
      </w:r>
      <w:r w:rsidRPr="00CE518C">
        <w:rPr>
          <w:szCs w:val="24"/>
        </w:rPr>
        <w:t>term through consumer education campaigns</w:t>
      </w:r>
      <w:r w:rsidR="00963DD3">
        <w:rPr>
          <w:szCs w:val="24"/>
        </w:rPr>
        <w:t xml:space="preserve"> stood out as offering </w:t>
      </w:r>
      <w:r>
        <w:rPr>
          <w:szCs w:val="24"/>
        </w:rPr>
        <w:t>the greatest savings</w:t>
      </w:r>
      <w:r w:rsidR="00FC79EA">
        <w:rPr>
          <w:szCs w:val="24"/>
        </w:rPr>
        <w:t>.</w:t>
      </w:r>
    </w:p>
    <w:p w14:paraId="54CBB40B" w14:textId="77777777" w:rsidR="006A67D3" w:rsidRPr="002E2C11" w:rsidRDefault="006A67D3" w:rsidP="006A67D3">
      <w:pPr>
        <w:pStyle w:val="CommentText"/>
        <w:numPr>
          <w:ilvl w:val="0"/>
          <w:numId w:val="35"/>
        </w:numPr>
        <w:spacing w:line="276" w:lineRule="auto"/>
        <w:rPr>
          <w:sz w:val="24"/>
          <w:szCs w:val="24"/>
        </w:rPr>
      </w:pPr>
      <w:r w:rsidRPr="002E2C11">
        <w:rPr>
          <w:sz w:val="24"/>
          <w:szCs w:val="24"/>
        </w:rPr>
        <w:t>Disabling connected standby could potentially generate saving</w:t>
      </w:r>
      <w:r w:rsidR="00FC79EA">
        <w:rPr>
          <w:sz w:val="24"/>
          <w:szCs w:val="24"/>
        </w:rPr>
        <w:t>s</w:t>
      </w:r>
      <w:r w:rsidRPr="002E2C11">
        <w:rPr>
          <w:sz w:val="24"/>
          <w:szCs w:val="24"/>
        </w:rPr>
        <w:t xml:space="preserve"> of 100</w:t>
      </w:r>
      <w:r w:rsidR="00FC79EA">
        <w:rPr>
          <w:sz w:val="24"/>
          <w:szCs w:val="24"/>
        </w:rPr>
        <w:t xml:space="preserve"> </w:t>
      </w:r>
      <w:r w:rsidRPr="002E2C11">
        <w:rPr>
          <w:sz w:val="24"/>
          <w:szCs w:val="24"/>
        </w:rPr>
        <w:t>kWh/year in Xbox UEC and 55</w:t>
      </w:r>
      <w:r w:rsidR="00FC79EA">
        <w:rPr>
          <w:sz w:val="24"/>
          <w:szCs w:val="24"/>
        </w:rPr>
        <w:t xml:space="preserve"> </w:t>
      </w:r>
      <w:r w:rsidRPr="002E2C11">
        <w:rPr>
          <w:sz w:val="24"/>
          <w:szCs w:val="24"/>
        </w:rPr>
        <w:t xml:space="preserve">kWh/year in PS4 UEC. </w:t>
      </w:r>
    </w:p>
    <w:p w14:paraId="25C6F2DC" w14:textId="77777777" w:rsidR="006A67D3" w:rsidRPr="002E2C11" w:rsidRDefault="006A67D3" w:rsidP="006A67D3">
      <w:pPr>
        <w:pStyle w:val="CommentText"/>
        <w:numPr>
          <w:ilvl w:val="0"/>
          <w:numId w:val="35"/>
        </w:numPr>
        <w:spacing w:line="276" w:lineRule="auto"/>
        <w:rPr>
          <w:sz w:val="24"/>
          <w:szCs w:val="24"/>
        </w:rPr>
      </w:pPr>
      <w:r w:rsidRPr="002E2C11">
        <w:rPr>
          <w:sz w:val="24"/>
          <w:szCs w:val="24"/>
        </w:rPr>
        <w:t>If APD were enabled and set to turn off after one hour, it could possibly achieve 89</w:t>
      </w:r>
      <w:r w:rsidR="00BA64C7">
        <w:rPr>
          <w:sz w:val="24"/>
          <w:szCs w:val="24"/>
        </w:rPr>
        <w:t xml:space="preserve"> </w:t>
      </w:r>
      <w:r w:rsidRPr="002E2C11">
        <w:rPr>
          <w:sz w:val="24"/>
          <w:szCs w:val="24"/>
        </w:rPr>
        <w:t>kWh/year in savings for Xbox and 50</w:t>
      </w:r>
      <w:r w:rsidR="00BA64C7">
        <w:rPr>
          <w:sz w:val="24"/>
          <w:szCs w:val="24"/>
        </w:rPr>
        <w:t xml:space="preserve"> </w:t>
      </w:r>
      <w:r w:rsidRPr="002E2C11">
        <w:rPr>
          <w:sz w:val="24"/>
          <w:szCs w:val="24"/>
        </w:rPr>
        <w:t>kWh/year for PS4.</w:t>
      </w:r>
    </w:p>
    <w:p w14:paraId="5C5FB072" w14:textId="77777777" w:rsidR="00C95E20" w:rsidRDefault="00C95E20" w:rsidP="006A67D3">
      <w:pPr>
        <w:rPr>
          <w:b/>
          <w:szCs w:val="24"/>
        </w:rPr>
      </w:pPr>
    </w:p>
    <w:p w14:paraId="5E00ED0A" w14:textId="77777777" w:rsidR="006A67D3" w:rsidRDefault="006A67D3" w:rsidP="006A67D3">
      <w:pPr>
        <w:rPr>
          <w:szCs w:val="24"/>
        </w:rPr>
      </w:pPr>
      <w:r w:rsidRPr="002E2C11">
        <w:rPr>
          <w:b/>
          <w:szCs w:val="24"/>
        </w:rPr>
        <w:t>Game Console Market Barriers.</w:t>
      </w:r>
      <w:r>
        <w:rPr>
          <w:szCs w:val="24"/>
        </w:rPr>
        <w:t xml:space="preserve"> </w:t>
      </w:r>
      <w:r w:rsidRPr="006B1CC6">
        <w:rPr>
          <w:szCs w:val="24"/>
        </w:rPr>
        <w:t>Because there are few game console models</w:t>
      </w:r>
      <w:r>
        <w:rPr>
          <w:szCs w:val="24"/>
        </w:rPr>
        <w:t>,</w:t>
      </w:r>
      <w:r w:rsidRPr="006B1CC6">
        <w:rPr>
          <w:szCs w:val="24"/>
        </w:rPr>
        <w:t xml:space="preserve"> consumers have limited choice to select higher efficiency models and programs have fewer models to promote.</w:t>
      </w:r>
      <w:r>
        <w:rPr>
          <w:szCs w:val="24"/>
        </w:rPr>
        <w:t xml:space="preserve"> E</w:t>
      </w:r>
      <w:r w:rsidRPr="006B1CC6">
        <w:rPr>
          <w:szCs w:val="24"/>
        </w:rPr>
        <w:t xml:space="preserve">ven </w:t>
      </w:r>
      <w:r>
        <w:rPr>
          <w:szCs w:val="24"/>
        </w:rPr>
        <w:t xml:space="preserve">if </w:t>
      </w:r>
      <w:r w:rsidRPr="006B1CC6">
        <w:rPr>
          <w:szCs w:val="24"/>
        </w:rPr>
        <w:t xml:space="preserve">one manufacturer increases the efficiency of </w:t>
      </w:r>
      <w:r w:rsidR="005B239B">
        <w:rPr>
          <w:szCs w:val="24"/>
        </w:rPr>
        <w:t>its</w:t>
      </w:r>
      <w:r w:rsidRPr="006B1CC6">
        <w:rPr>
          <w:szCs w:val="24"/>
        </w:rPr>
        <w:t xml:space="preserve"> only model, program efforts to incentivize the purchase of energy</w:t>
      </w:r>
      <w:r w:rsidR="005B239B">
        <w:rPr>
          <w:szCs w:val="24"/>
        </w:rPr>
        <w:t>-</w:t>
      </w:r>
      <w:r w:rsidRPr="006B1CC6">
        <w:rPr>
          <w:szCs w:val="24"/>
        </w:rPr>
        <w:t>efficient models will result in easy free ridership.</w:t>
      </w:r>
      <w:r>
        <w:rPr>
          <w:szCs w:val="24"/>
        </w:rPr>
        <w:t xml:space="preserve"> Moreover, c</w:t>
      </w:r>
      <w:r w:rsidRPr="006B1CC6">
        <w:rPr>
          <w:szCs w:val="24"/>
        </w:rPr>
        <w:t>ustomers have gained interest in game console models that happen to be more energy</w:t>
      </w:r>
      <w:r w:rsidR="005B239B">
        <w:rPr>
          <w:szCs w:val="24"/>
        </w:rPr>
        <w:t>-</w:t>
      </w:r>
      <w:r w:rsidRPr="006B1CC6">
        <w:rPr>
          <w:szCs w:val="24"/>
        </w:rPr>
        <w:t>efficient</w:t>
      </w:r>
      <w:r>
        <w:rPr>
          <w:szCs w:val="24"/>
        </w:rPr>
        <w:t>, again opening the door to free ridership</w:t>
      </w:r>
      <w:r w:rsidRPr="006B1CC6">
        <w:rPr>
          <w:szCs w:val="24"/>
        </w:rPr>
        <w:t xml:space="preserve">. </w:t>
      </w:r>
      <w:r w:rsidR="00AE55C6">
        <w:rPr>
          <w:szCs w:val="24"/>
        </w:rPr>
        <w:t>Further</w:t>
      </w:r>
      <w:r>
        <w:rPr>
          <w:szCs w:val="24"/>
        </w:rPr>
        <w:t xml:space="preserve">, </w:t>
      </w:r>
      <w:r w:rsidRPr="00CE518C">
        <w:rPr>
          <w:szCs w:val="24"/>
        </w:rPr>
        <w:t>California has proposed standards</w:t>
      </w:r>
      <w:r w:rsidR="005B239B">
        <w:rPr>
          <w:szCs w:val="24"/>
        </w:rPr>
        <w:t>,</w:t>
      </w:r>
      <w:r w:rsidRPr="00CE518C">
        <w:rPr>
          <w:szCs w:val="24"/>
        </w:rPr>
        <w:t xml:space="preserve"> to be ruled on in 2015</w:t>
      </w:r>
      <w:r w:rsidR="005B239B">
        <w:rPr>
          <w:szCs w:val="24"/>
        </w:rPr>
        <w:t>,</w:t>
      </w:r>
      <w:r>
        <w:rPr>
          <w:szCs w:val="24"/>
        </w:rPr>
        <w:t xml:space="preserve"> that would also increase the efficiency of game consoles overall</w:t>
      </w:r>
      <w:r w:rsidRPr="00CE518C">
        <w:rPr>
          <w:szCs w:val="24"/>
        </w:rPr>
        <w:t>.</w:t>
      </w:r>
    </w:p>
    <w:p w14:paraId="64927A7D" w14:textId="77777777" w:rsidR="006A67D3" w:rsidRPr="00394E30" w:rsidRDefault="006A67D3" w:rsidP="006A67D3">
      <w:pPr>
        <w:pStyle w:val="ListParagraph"/>
        <w:numPr>
          <w:ilvl w:val="1"/>
          <w:numId w:val="35"/>
        </w:numPr>
        <w:rPr>
          <w:rFonts w:ascii="Arial" w:eastAsiaTheme="majorEastAsia" w:hAnsi="Arial" w:cstheme="majorBidi"/>
          <w:b/>
          <w:bCs/>
          <w:szCs w:val="24"/>
        </w:rPr>
      </w:pPr>
      <w:r w:rsidRPr="002E2C11">
        <w:rPr>
          <w:b/>
          <w:szCs w:val="24"/>
        </w:rPr>
        <w:t>Recommendations:</w:t>
      </w:r>
      <w:r w:rsidRPr="002E2C11">
        <w:rPr>
          <w:szCs w:val="24"/>
        </w:rPr>
        <w:t xml:space="preserve"> Program designs should not include incentives for the purchase and sale of energy</w:t>
      </w:r>
      <w:r w:rsidR="005B239B">
        <w:rPr>
          <w:szCs w:val="24"/>
        </w:rPr>
        <w:t>-</w:t>
      </w:r>
      <w:r w:rsidRPr="002E2C11">
        <w:rPr>
          <w:szCs w:val="24"/>
        </w:rPr>
        <w:t>efficient game console models.</w:t>
      </w:r>
      <w:r w:rsidR="00F93D53">
        <w:rPr>
          <w:szCs w:val="24"/>
        </w:rPr>
        <w:t xml:space="preserve"> </w:t>
      </w:r>
      <w:r w:rsidR="00F93D53" w:rsidRPr="002E2C11">
        <w:rPr>
          <w:szCs w:val="24"/>
        </w:rPr>
        <w:t>Consider encouraging energy</w:t>
      </w:r>
      <w:r w:rsidR="005B239B">
        <w:rPr>
          <w:szCs w:val="24"/>
        </w:rPr>
        <w:t>-</w:t>
      </w:r>
      <w:r w:rsidR="00F93D53" w:rsidRPr="002E2C11">
        <w:rPr>
          <w:szCs w:val="24"/>
        </w:rPr>
        <w:t>sav</w:t>
      </w:r>
      <w:r w:rsidR="00F93D53">
        <w:rPr>
          <w:szCs w:val="24"/>
        </w:rPr>
        <w:t>ing behaviors for game consoles through consumer education campaigns.</w:t>
      </w:r>
    </w:p>
    <w:p w14:paraId="6271EFCA" w14:textId="77777777" w:rsidR="00394E30" w:rsidRDefault="00394E30" w:rsidP="00394E30">
      <w:pPr>
        <w:rPr>
          <w:rFonts w:eastAsiaTheme="majorEastAsia"/>
        </w:rPr>
      </w:pPr>
    </w:p>
    <w:p w14:paraId="4809052E" w14:textId="77777777" w:rsidR="00394E30" w:rsidRDefault="00394E30" w:rsidP="00394E30">
      <w:pPr>
        <w:rPr>
          <w:rFonts w:eastAsiaTheme="majorEastAsia"/>
        </w:rPr>
        <w:sectPr w:rsidR="00394E30" w:rsidSect="004C67E5">
          <w:headerReference w:type="default" r:id="rId49"/>
          <w:pgSz w:w="12240" w:h="15840" w:code="1"/>
          <w:pgMar w:top="1440" w:right="1440" w:bottom="1440" w:left="1440" w:header="720" w:footer="720" w:gutter="0"/>
          <w:cols w:space="720"/>
          <w:docGrid w:linePitch="360"/>
        </w:sectPr>
      </w:pPr>
    </w:p>
    <w:p w14:paraId="1D1885A9" w14:textId="77777777" w:rsidR="009867C0" w:rsidRPr="009867C0" w:rsidRDefault="009867C0" w:rsidP="00595788">
      <w:pPr>
        <w:pStyle w:val="ApHeading1"/>
      </w:pPr>
      <w:bookmarkStart w:id="107" w:name="_Toc399859747"/>
      <w:bookmarkStart w:id="108" w:name="_Toc399859805"/>
      <w:bookmarkStart w:id="109" w:name="_Toc399860150"/>
      <w:bookmarkStart w:id="110" w:name="_Toc399946339"/>
      <w:bookmarkStart w:id="111" w:name="_Toc399859748"/>
      <w:bookmarkStart w:id="112" w:name="_Toc399859806"/>
      <w:bookmarkStart w:id="113" w:name="_Toc399860151"/>
      <w:bookmarkStart w:id="114" w:name="_Toc399946340"/>
      <w:bookmarkStart w:id="115" w:name="_Toc399859749"/>
      <w:bookmarkStart w:id="116" w:name="_Toc399859807"/>
      <w:bookmarkStart w:id="117" w:name="_Toc399860152"/>
      <w:bookmarkStart w:id="118" w:name="_Toc399946341"/>
      <w:bookmarkStart w:id="119" w:name="_Toc399859750"/>
      <w:bookmarkStart w:id="120" w:name="_Toc399859808"/>
      <w:bookmarkStart w:id="121" w:name="_Toc399860153"/>
      <w:bookmarkStart w:id="122" w:name="_Toc399946342"/>
      <w:bookmarkStart w:id="123" w:name="_Toc399859751"/>
      <w:bookmarkStart w:id="124" w:name="_Toc399859809"/>
      <w:bookmarkStart w:id="125" w:name="_Toc399860154"/>
      <w:bookmarkStart w:id="126" w:name="_Toc399946343"/>
      <w:bookmarkStart w:id="127" w:name="_Toc399859752"/>
      <w:bookmarkStart w:id="128" w:name="_Toc399859810"/>
      <w:bookmarkStart w:id="129" w:name="_Toc399860155"/>
      <w:bookmarkStart w:id="130" w:name="_Toc399946344"/>
      <w:bookmarkStart w:id="131" w:name="_Toc399859753"/>
      <w:bookmarkStart w:id="132" w:name="_Toc399859811"/>
      <w:bookmarkStart w:id="133" w:name="_Toc399860156"/>
      <w:bookmarkStart w:id="134" w:name="_Toc399946345"/>
      <w:bookmarkStart w:id="135" w:name="_Toc40166786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lastRenderedPageBreak/>
        <w:t>Acronyms</w:t>
      </w:r>
      <w:bookmarkEnd w:id="135"/>
    </w:p>
    <w:p w14:paraId="50CC76F7" w14:textId="77777777" w:rsidR="009D3EB1" w:rsidRDefault="009D3EB1" w:rsidP="009D3EB1">
      <w:pPr>
        <w:pStyle w:val="Caption"/>
      </w:pPr>
      <w:bookmarkStart w:id="136" w:name="_Toc400007935"/>
      <w:r>
        <w:t xml:space="preserve">Table </w:t>
      </w:r>
      <w:fldSimple w:instr=" SEQ Table \* ARABIC ">
        <w:r w:rsidR="00302A02">
          <w:rPr>
            <w:noProof/>
          </w:rPr>
          <w:t>10</w:t>
        </w:r>
      </w:fldSimple>
      <w:r>
        <w:t>: Acronyms</w:t>
      </w:r>
      <w:bookmarkEnd w:id="136"/>
    </w:p>
    <w:tbl>
      <w:tblPr>
        <w:tblStyle w:val="TableGrid"/>
        <w:tblW w:w="6791" w:type="dxa"/>
        <w:jc w:val="center"/>
        <w:tblLook w:val="04A0" w:firstRow="1" w:lastRow="0" w:firstColumn="1" w:lastColumn="0" w:noHBand="0" w:noVBand="1"/>
      </w:tblPr>
      <w:tblGrid>
        <w:gridCol w:w="1301"/>
        <w:gridCol w:w="5490"/>
      </w:tblGrid>
      <w:tr w:rsidR="00E90EB4" w:rsidRPr="001B05A5" w14:paraId="48542F1A" w14:textId="77777777" w:rsidTr="00963DD3">
        <w:trPr>
          <w:jc w:val="center"/>
        </w:trPr>
        <w:tc>
          <w:tcPr>
            <w:tcW w:w="1301" w:type="dxa"/>
            <w:tcBorders>
              <w:top w:val="single" w:sz="12" w:space="0" w:color="000000" w:themeColor="text1"/>
              <w:left w:val="single" w:sz="12" w:space="0" w:color="000000" w:themeColor="text1"/>
              <w:bottom w:val="double" w:sz="4" w:space="0" w:color="auto"/>
              <w:right w:val="single" w:sz="4" w:space="0" w:color="000000" w:themeColor="text1"/>
            </w:tcBorders>
            <w:vAlign w:val="center"/>
          </w:tcPr>
          <w:p w14:paraId="4EFCC203" w14:textId="77777777" w:rsidR="00E90EB4" w:rsidRPr="001B05A5" w:rsidRDefault="009D3EB1" w:rsidP="009D3EB1">
            <w:pPr>
              <w:keepNext/>
              <w:keepLines/>
              <w:spacing w:after="0"/>
              <w:jc w:val="left"/>
              <w:rPr>
                <w:b/>
                <w:sz w:val="18"/>
                <w:szCs w:val="18"/>
              </w:rPr>
            </w:pPr>
            <w:r>
              <w:rPr>
                <w:b/>
                <w:sz w:val="18"/>
                <w:szCs w:val="18"/>
              </w:rPr>
              <w:t>Acronym</w:t>
            </w:r>
          </w:p>
        </w:tc>
        <w:tc>
          <w:tcPr>
            <w:tcW w:w="5490" w:type="dxa"/>
            <w:tcBorders>
              <w:top w:val="single" w:sz="12" w:space="0" w:color="000000" w:themeColor="text1"/>
              <w:left w:val="single" w:sz="4" w:space="0" w:color="000000" w:themeColor="text1"/>
              <w:bottom w:val="double" w:sz="4" w:space="0" w:color="auto"/>
              <w:right w:val="single" w:sz="12" w:space="0" w:color="000000" w:themeColor="text1"/>
            </w:tcBorders>
            <w:vAlign w:val="center"/>
          </w:tcPr>
          <w:p w14:paraId="51ABD697" w14:textId="77777777" w:rsidR="00E90EB4" w:rsidRDefault="009D3EB1" w:rsidP="009D3EB1">
            <w:pPr>
              <w:keepNext/>
              <w:keepLines/>
              <w:spacing w:after="0"/>
              <w:jc w:val="left"/>
              <w:rPr>
                <w:b/>
                <w:sz w:val="18"/>
                <w:szCs w:val="18"/>
              </w:rPr>
            </w:pPr>
            <w:r>
              <w:rPr>
                <w:b/>
                <w:sz w:val="18"/>
                <w:szCs w:val="18"/>
              </w:rPr>
              <w:t>Term</w:t>
            </w:r>
          </w:p>
        </w:tc>
      </w:tr>
      <w:tr w:rsidR="00E90EB4" w:rsidRPr="001B05A5" w14:paraId="78AB4D1F" w14:textId="77777777" w:rsidTr="00963DD3">
        <w:trPr>
          <w:jc w:val="center"/>
        </w:trPr>
        <w:tc>
          <w:tcPr>
            <w:tcW w:w="1301" w:type="dxa"/>
            <w:tcBorders>
              <w:left w:val="single" w:sz="12" w:space="0" w:color="000000" w:themeColor="text1"/>
              <w:right w:val="single" w:sz="4" w:space="0" w:color="000000" w:themeColor="text1"/>
            </w:tcBorders>
            <w:vAlign w:val="center"/>
          </w:tcPr>
          <w:p w14:paraId="609FE6E3" w14:textId="77777777" w:rsidR="00E90EB4" w:rsidRPr="001B05A5" w:rsidRDefault="009D3EB1" w:rsidP="009D3EB1">
            <w:pPr>
              <w:keepNext/>
              <w:keepLines/>
              <w:spacing w:after="0"/>
              <w:jc w:val="left"/>
              <w:rPr>
                <w:sz w:val="18"/>
                <w:szCs w:val="18"/>
              </w:rPr>
            </w:pPr>
            <w:r>
              <w:rPr>
                <w:sz w:val="18"/>
                <w:szCs w:val="18"/>
              </w:rPr>
              <w:t>APD</w:t>
            </w:r>
          </w:p>
        </w:tc>
        <w:tc>
          <w:tcPr>
            <w:tcW w:w="5490" w:type="dxa"/>
            <w:tcBorders>
              <w:left w:val="single" w:sz="4" w:space="0" w:color="000000" w:themeColor="text1"/>
              <w:right w:val="single" w:sz="12" w:space="0" w:color="000000" w:themeColor="text1"/>
            </w:tcBorders>
            <w:vAlign w:val="center"/>
          </w:tcPr>
          <w:p w14:paraId="716988A0" w14:textId="77777777" w:rsidR="00E90EB4" w:rsidRPr="0084423C" w:rsidRDefault="00291759" w:rsidP="009D3EB1">
            <w:pPr>
              <w:keepNext/>
              <w:keepLines/>
              <w:spacing w:after="0"/>
              <w:jc w:val="left"/>
              <w:rPr>
                <w:rFonts w:cs="Times New Roman"/>
                <w:sz w:val="18"/>
                <w:szCs w:val="18"/>
              </w:rPr>
            </w:pPr>
            <w:r>
              <w:rPr>
                <w:rFonts w:cs="Times New Roman"/>
                <w:sz w:val="18"/>
                <w:szCs w:val="18"/>
              </w:rPr>
              <w:t xml:space="preserve">Auto-Power Down </w:t>
            </w:r>
          </w:p>
        </w:tc>
      </w:tr>
      <w:tr w:rsidR="00E90EB4" w:rsidRPr="001B05A5" w14:paraId="6C39FDBA" w14:textId="77777777" w:rsidTr="00963DD3">
        <w:trPr>
          <w:jc w:val="center"/>
        </w:trPr>
        <w:tc>
          <w:tcPr>
            <w:tcW w:w="1301" w:type="dxa"/>
            <w:tcBorders>
              <w:left w:val="single" w:sz="12" w:space="0" w:color="000000" w:themeColor="text1"/>
              <w:right w:val="single" w:sz="4" w:space="0" w:color="000000" w:themeColor="text1"/>
            </w:tcBorders>
            <w:vAlign w:val="center"/>
          </w:tcPr>
          <w:p w14:paraId="5EBA86C9" w14:textId="77777777" w:rsidR="00E90EB4" w:rsidRPr="00A25870" w:rsidRDefault="009D3EB1" w:rsidP="009D3EB1">
            <w:pPr>
              <w:keepNext/>
              <w:keepLines/>
              <w:spacing w:after="0"/>
              <w:jc w:val="left"/>
              <w:rPr>
                <w:sz w:val="18"/>
                <w:szCs w:val="18"/>
              </w:rPr>
            </w:pPr>
            <w:r w:rsidRPr="00A25870">
              <w:rPr>
                <w:sz w:val="18"/>
                <w:szCs w:val="18"/>
              </w:rPr>
              <w:t>ABC</w:t>
            </w:r>
          </w:p>
        </w:tc>
        <w:tc>
          <w:tcPr>
            <w:tcW w:w="5490" w:type="dxa"/>
            <w:tcBorders>
              <w:left w:val="single" w:sz="4" w:space="0" w:color="000000" w:themeColor="text1"/>
              <w:right w:val="single" w:sz="12" w:space="0" w:color="000000" w:themeColor="text1"/>
            </w:tcBorders>
            <w:vAlign w:val="center"/>
          </w:tcPr>
          <w:p w14:paraId="34D1B5D8" w14:textId="77777777" w:rsidR="00E90EB4" w:rsidRPr="0084423C" w:rsidRDefault="00291759" w:rsidP="009D3EB1">
            <w:pPr>
              <w:keepNext/>
              <w:keepLines/>
              <w:spacing w:after="0"/>
              <w:jc w:val="left"/>
              <w:rPr>
                <w:rFonts w:cs="Times New Roman"/>
                <w:sz w:val="18"/>
                <w:szCs w:val="18"/>
              </w:rPr>
            </w:pPr>
            <w:r w:rsidRPr="00291759">
              <w:rPr>
                <w:rFonts w:cs="Times New Roman"/>
                <w:sz w:val="18"/>
                <w:szCs w:val="18"/>
              </w:rPr>
              <w:t>Automatic Brightness Control</w:t>
            </w:r>
          </w:p>
        </w:tc>
      </w:tr>
      <w:tr w:rsidR="00112BE6" w:rsidRPr="001B05A5" w14:paraId="30CB2DFA" w14:textId="77777777" w:rsidTr="00963DD3">
        <w:trPr>
          <w:jc w:val="center"/>
        </w:trPr>
        <w:tc>
          <w:tcPr>
            <w:tcW w:w="1301" w:type="dxa"/>
            <w:tcBorders>
              <w:left w:val="single" w:sz="12" w:space="0" w:color="000000" w:themeColor="text1"/>
              <w:right w:val="single" w:sz="4" w:space="0" w:color="000000" w:themeColor="text1"/>
            </w:tcBorders>
            <w:vAlign w:val="center"/>
          </w:tcPr>
          <w:p w14:paraId="07C7B5BF" w14:textId="77777777" w:rsidR="00112BE6" w:rsidRPr="00A25870" w:rsidRDefault="00112BE6" w:rsidP="009D3EB1">
            <w:pPr>
              <w:keepNext/>
              <w:keepLines/>
              <w:spacing w:after="0"/>
              <w:jc w:val="left"/>
              <w:rPr>
                <w:sz w:val="18"/>
                <w:szCs w:val="18"/>
              </w:rPr>
            </w:pPr>
            <w:r>
              <w:rPr>
                <w:sz w:val="18"/>
                <w:szCs w:val="18"/>
              </w:rPr>
              <w:t>DOE</w:t>
            </w:r>
          </w:p>
        </w:tc>
        <w:tc>
          <w:tcPr>
            <w:tcW w:w="5490" w:type="dxa"/>
            <w:tcBorders>
              <w:left w:val="single" w:sz="4" w:space="0" w:color="000000" w:themeColor="text1"/>
              <w:right w:val="single" w:sz="12" w:space="0" w:color="000000" w:themeColor="text1"/>
            </w:tcBorders>
            <w:vAlign w:val="center"/>
          </w:tcPr>
          <w:p w14:paraId="13940687" w14:textId="77777777" w:rsidR="00112BE6" w:rsidRPr="00291759" w:rsidRDefault="00112BE6" w:rsidP="009D3EB1">
            <w:pPr>
              <w:keepNext/>
              <w:keepLines/>
              <w:spacing w:after="0"/>
              <w:jc w:val="left"/>
              <w:rPr>
                <w:rFonts w:cs="Times New Roman"/>
                <w:sz w:val="18"/>
                <w:szCs w:val="18"/>
              </w:rPr>
            </w:pPr>
            <w:r>
              <w:rPr>
                <w:rFonts w:cs="Times New Roman"/>
                <w:sz w:val="18"/>
                <w:szCs w:val="18"/>
              </w:rPr>
              <w:t>Department of Energy</w:t>
            </w:r>
          </w:p>
        </w:tc>
      </w:tr>
      <w:tr w:rsidR="00963DD3" w:rsidRPr="001B05A5" w14:paraId="3680B198" w14:textId="77777777" w:rsidTr="00963DD3">
        <w:trPr>
          <w:jc w:val="center"/>
        </w:trPr>
        <w:tc>
          <w:tcPr>
            <w:tcW w:w="1301" w:type="dxa"/>
            <w:tcBorders>
              <w:left w:val="single" w:sz="12" w:space="0" w:color="000000" w:themeColor="text1"/>
              <w:right w:val="single" w:sz="4" w:space="0" w:color="000000" w:themeColor="text1"/>
            </w:tcBorders>
            <w:vAlign w:val="center"/>
          </w:tcPr>
          <w:p w14:paraId="7DAFADDA" w14:textId="77777777" w:rsidR="00963DD3" w:rsidRPr="00A25870" w:rsidRDefault="00963DD3" w:rsidP="009D3EB1">
            <w:pPr>
              <w:keepNext/>
              <w:keepLines/>
              <w:spacing w:after="0"/>
              <w:jc w:val="left"/>
              <w:rPr>
                <w:sz w:val="18"/>
                <w:szCs w:val="18"/>
              </w:rPr>
            </w:pPr>
            <w:r>
              <w:rPr>
                <w:sz w:val="18"/>
                <w:szCs w:val="18"/>
              </w:rPr>
              <w:t>GWh</w:t>
            </w:r>
          </w:p>
        </w:tc>
        <w:tc>
          <w:tcPr>
            <w:tcW w:w="5490" w:type="dxa"/>
            <w:tcBorders>
              <w:left w:val="single" w:sz="4" w:space="0" w:color="000000" w:themeColor="text1"/>
              <w:right w:val="single" w:sz="12" w:space="0" w:color="000000" w:themeColor="text1"/>
            </w:tcBorders>
            <w:vAlign w:val="center"/>
          </w:tcPr>
          <w:p w14:paraId="57AD82D3" w14:textId="77777777" w:rsidR="00963DD3" w:rsidRPr="00291759" w:rsidRDefault="00963DD3" w:rsidP="009D3EB1">
            <w:pPr>
              <w:keepNext/>
              <w:keepLines/>
              <w:spacing w:after="0"/>
              <w:jc w:val="left"/>
              <w:rPr>
                <w:rFonts w:cs="Times New Roman"/>
                <w:sz w:val="18"/>
                <w:szCs w:val="18"/>
              </w:rPr>
            </w:pPr>
            <w:r>
              <w:rPr>
                <w:rFonts w:cs="Times New Roman"/>
                <w:sz w:val="18"/>
                <w:szCs w:val="18"/>
              </w:rPr>
              <w:t>Gigawatt hour</w:t>
            </w:r>
          </w:p>
        </w:tc>
      </w:tr>
      <w:tr w:rsidR="00E90EB4" w:rsidRPr="001B05A5" w14:paraId="506965A1" w14:textId="77777777" w:rsidTr="00963DD3">
        <w:trPr>
          <w:jc w:val="center"/>
        </w:trPr>
        <w:tc>
          <w:tcPr>
            <w:tcW w:w="1301" w:type="dxa"/>
            <w:tcBorders>
              <w:left w:val="single" w:sz="12" w:space="0" w:color="000000" w:themeColor="text1"/>
              <w:right w:val="single" w:sz="4" w:space="0" w:color="000000" w:themeColor="text1"/>
            </w:tcBorders>
            <w:vAlign w:val="center"/>
          </w:tcPr>
          <w:p w14:paraId="0229DF00" w14:textId="77777777" w:rsidR="00E90EB4" w:rsidRPr="00A25870" w:rsidRDefault="009D3EB1" w:rsidP="009D3EB1">
            <w:pPr>
              <w:keepNext/>
              <w:keepLines/>
              <w:spacing w:after="0"/>
              <w:jc w:val="left"/>
              <w:rPr>
                <w:sz w:val="18"/>
                <w:szCs w:val="18"/>
              </w:rPr>
            </w:pPr>
            <w:r w:rsidRPr="00A25870">
              <w:rPr>
                <w:sz w:val="18"/>
                <w:szCs w:val="18"/>
              </w:rPr>
              <w:t>kWh</w:t>
            </w:r>
          </w:p>
        </w:tc>
        <w:tc>
          <w:tcPr>
            <w:tcW w:w="5490" w:type="dxa"/>
            <w:tcBorders>
              <w:left w:val="single" w:sz="4" w:space="0" w:color="000000" w:themeColor="text1"/>
              <w:right w:val="single" w:sz="12" w:space="0" w:color="000000" w:themeColor="text1"/>
            </w:tcBorders>
            <w:vAlign w:val="center"/>
          </w:tcPr>
          <w:p w14:paraId="1B5CC11E" w14:textId="77777777" w:rsidR="00E90EB4" w:rsidRPr="0084423C" w:rsidRDefault="009D3EB1" w:rsidP="00C95E20">
            <w:pPr>
              <w:keepNext/>
              <w:keepLines/>
              <w:spacing w:after="0"/>
              <w:jc w:val="left"/>
              <w:rPr>
                <w:rFonts w:cs="Times New Roman"/>
                <w:sz w:val="18"/>
                <w:szCs w:val="18"/>
              </w:rPr>
            </w:pPr>
            <w:r w:rsidRPr="00291759">
              <w:rPr>
                <w:rFonts w:cs="Times New Roman"/>
                <w:sz w:val="18"/>
                <w:szCs w:val="18"/>
              </w:rPr>
              <w:t>K</w:t>
            </w:r>
            <w:r>
              <w:rPr>
                <w:rFonts w:cs="Times New Roman"/>
                <w:sz w:val="18"/>
                <w:szCs w:val="18"/>
              </w:rPr>
              <w:t>ilo</w:t>
            </w:r>
            <w:r w:rsidR="00C95E20">
              <w:rPr>
                <w:rFonts w:cs="Times New Roman"/>
                <w:sz w:val="18"/>
                <w:szCs w:val="18"/>
              </w:rPr>
              <w:t>w</w:t>
            </w:r>
            <w:r>
              <w:rPr>
                <w:rFonts w:cs="Times New Roman"/>
                <w:sz w:val="18"/>
                <w:szCs w:val="18"/>
              </w:rPr>
              <w:t>att hour</w:t>
            </w:r>
          </w:p>
        </w:tc>
      </w:tr>
      <w:tr w:rsidR="00E90EB4" w:rsidRPr="001B05A5" w14:paraId="2C58D135" w14:textId="77777777" w:rsidTr="00963DD3">
        <w:trPr>
          <w:jc w:val="center"/>
        </w:trPr>
        <w:tc>
          <w:tcPr>
            <w:tcW w:w="1301" w:type="dxa"/>
            <w:tcBorders>
              <w:left w:val="single" w:sz="12" w:space="0" w:color="000000" w:themeColor="text1"/>
              <w:right w:val="single" w:sz="4" w:space="0" w:color="000000" w:themeColor="text1"/>
            </w:tcBorders>
            <w:vAlign w:val="center"/>
          </w:tcPr>
          <w:p w14:paraId="766CB823" w14:textId="77777777" w:rsidR="00E90EB4" w:rsidRDefault="009D3EB1" w:rsidP="009D3EB1">
            <w:pPr>
              <w:keepNext/>
              <w:keepLines/>
              <w:spacing w:after="0"/>
              <w:jc w:val="left"/>
              <w:rPr>
                <w:sz w:val="18"/>
                <w:szCs w:val="18"/>
              </w:rPr>
            </w:pPr>
            <w:r>
              <w:rPr>
                <w:sz w:val="18"/>
                <w:szCs w:val="18"/>
              </w:rPr>
              <w:t>NRDC</w:t>
            </w:r>
          </w:p>
        </w:tc>
        <w:tc>
          <w:tcPr>
            <w:tcW w:w="5490" w:type="dxa"/>
            <w:tcBorders>
              <w:left w:val="single" w:sz="4" w:space="0" w:color="000000" w:themeColor="text1"/>
              <w:right w:val="single" w:sz="12" w:space="0" w:color="000000" w:themeColor="text1"/>
            </w:tcBorders>
            <w:vAlign w:val="center"/>
          </w:tcPr>
          <w:p w14:paraId="43E11113" w14:textId="77777777" w:rsidR="00E90EB4" w:rsidRPr="0084423C" w:rsidRDefault="00291759" w:rsidP="009D3EB1">
            <w:pPr>
              <w:keepNext/>
              <w:keepLines/>
              <w:spacing w:after="0"/>
              <w:jc w:val="left"/>
              <w:rPr>
                <w:rFonts w:cs="Times New Roman"/>
                <w:sz w:val="18"/>
                <w:szCs w:val="18"/>
              </w:rPr>
            </w:pPr>
            <w:r w:rsidRPr="00291759">
              <w:rPr>
                <w:rFonts w:cs="Times New Roman"/>
                <w:sz w:val="18"/>
                <w:szCs w:val="18"/>
              </w:rPr>
              <w:t>Na</w:t>
            </w:r>
            <w:r w:rsidR="009D3EB1">
              <w:rPr>
                <w:rFonts w:cs="Times New Roman"/>
                <w:sz w:val="18"/>
                <w:szCs w:val="18"/>
              </w:rPr>
              <w:t>tural Resources Defense Council</w:t>
            </w:r>
          </w:p>
        </w:tc>
      </w:tr>
      <w:tr w:rsidR="00A25870" w:rsidRPr="001B05A5" w14:paraId="747B42F9" w14:textId="77777777" w:rsidTr="00963DD3">
        <w:trPr>
          <w:jc w:val="center"/>
        </w:trPr>
        <w:tc>
          <w:tcPr>
            <w:tcW w:w="1301" w:type="dxa"/>
            <w:tcBorders>
              <w:left w:val="single" w:sz="12" w:space="0" w:color="000000" w:themeColor="text1"/>
              <w:right w:val="single" w:sz="4" w:space="0" w:color="000000" w:themeColor="text1"/>
            </w:tcBorders>
            <w:vAlign w:val="center"/>
          </w:tcPr>
          <w:p w14:paraId="665EA6C8" w14:textId="77777777" w:rsidR="00A25870" w:rsidRDefault="00A25870" w:rsidP="009D3EB1">
            <w:pPr>
              <w:keepNext/>
              <w:keepLines/>
              <w:spacing w:after="0"/>
              <w:jc w:val="left"/>
              <w:rPr>
                <w:sz w:val="18"/>
                <w:szCs w:val="18"/>
              </w:rPr>
            </w:pPr>
            <w:r>
              <w:rPr>
                <w:sz w:val="18"/>
                <w:szCs w:val="18"/>
              </w:rPr>
              <w:t>NYSERDA</w:t>
            </w:r>
          </w:p>
        </w:tc>
        <w:tc>
          <w:tcPr>
            <w:tcW w:w="5490" w:type="dxa"/>
            <w:tcBorders>
              <w:left w:val="single" w:sz="4" w:space="0" w:color="000000" w:themeColor="text1"/>
              <w:right w:val="single" w:sz="12" w:space="0" w:color="000000" w:themeColor="text1"/>
            </w:tcBorders>
            <w:vAlign w:val="center"/>
          </w:tcPr>
          <w:p w14:paraId="58314044" w14:textId="77777777" w:rsidR="00A25870" w:rsidRPr="00A25870" w:rsidRDefault="00A25870" w:rsidP="009D3EB1">
            <w:pPr>
              <w:keepNext/>
              <w:keepLines/>
              <w:spacing w:after="0"/>
              <w:jc w:val="left"/>
              <w:rPr>
                <w:rFonts w:cs="Times New Roman"/>
                <w:sz w:val="18"/>
                <w:szCs w:val="18"/>
              </w:rPr>
            </w:pPr>
            <w:r w:rsidRPr="00A25870">
              <w:rPr>
                <w:sz w:val="18"/>
                <w:szCs w:val="18"/>
              </w:rPr>
              <w:t>New York State Energy Research and Development Authority</w:t>
            </w:r>
          </w:p>
        </w:tc>
      </w:tr>
      <w:tr w:rsidR="00E90EB4" w:rsidRPr="001B05A5" w14:paraId="164A83B6" w14:textId="77777777" w:rsidTr="00963DD3">
        <w:trPr>
          <w:jc w:val="center"/>
        </w:trPr>
        <w:tc>
          <w:tcPr>
            <w:tcW w:w="1301" w:type="dxa"/>
            <w:tcBorders>
              <w:left w:val="single" w:sz="12" w:space="0" w:color="000000" w:themeColor="text1"/>
              <w:right w:val="single" w:sz="4" w:space="0" w:color="000000" w:themeColor="text1"/>
            </w:tcBorders>
            <w:vAlign w:val="center"/>
          </w:tcPr>
          <w:p w14:paraId="37C5353B" w14:textId="77777777" w:rsidR="00E90EB4" w:rsidRDefault="009D3EB1" w:rsidP="009D3EB1">
            <w:pPr>
              <w:keepNext/>
              <w:keepLines/>
              <w:spacing w:after="0"/>
              <w:jc w:val="left"/>
              <w:rPr>
                <w:sz w:val="18"/>
                <w:szCs w:val="18"/>
              </w:rPr>
            </w:pPr>
            <w:r>
              <w:rPr>
                <w:sz w:val="18"/>
                <w:szCs w:val="18"/>
              </w:rPr>
              <w:t>NEEP</w:t>
            </w:r>
          </w:p>
        </w:tc>
        <w:tc>
          <w:tcPr>
            <w:tcW w:w="5490" w:type="dxa"/>
            <w:tcBorders>
              <w:left w:val="single" w:sz="4" w:space="0" w:color="000000" w:themeColor="text1"/>
              <w:right w:val="single" w:sz="12" w:space="0" w:color="000000" w:themeColor="text1"/>
            </w:tcBorders>
            <w:vAlign w:val="center"/>
          </w:tcPr>
          <w:p w14:paraId="2397EC21" w14:textId="77777777" w:rsidR="00E90EB4" w:rsidRPr="0084423C" w:rsidRDefault="00291759" w:rsidP="009D3EB1">
            <w:pPr>
              <w:keepNext/>
              <w:keepLines/>
              <w:spacing w:after="0"/>
              <w:jc w:val="left"/>
              <w:rPr>
                <w:rFonts w:cs="Times New Roman"/>
                <w:sz w:val="18"/>
                <w:szCs w:val="18"/>
              </w:rPr>
            </w:pPr>
            <w:r w:rsidRPr="00291759">
              <w:rPr>
                <w:rFonts w:cs="Times New Roman"/>
                <w:sz w:val="18"/>
                <w:szCs w:val="18"/>
              </w:rPr>
              <w:t>Northeast</w:t>
            </w:r>
            <w:r w:rsidR="009D3EB1">
              <w:rPr>
                <w:rFonts w:cs="Times New Roman"/>
                <w:sz w:val="18"/>
                <w:szCs w:val="18"/>
              </w:rPr>
              <w:t xml:space="preserve"> Energy Efficiency Partnerships</w:t>
            </w:r>
          </w:p>
        </w:tc>
      </w:tr>
      <w:tr w:rsidR="00E90EB4" w:rsidRPr="001B05A5" w14:paraId="2E164797" w14:textId="77777777" w:rsidTr="00963DD3">
        <w:trPr>
          <w:jc w:val="center"/>
        </w:trPr>
        <w:tc>
          <w:tcPr>
            <w:tcW w:w="1301" w:type="dxa"/>
            <w:tcBorders>
              <w:left w:val="single" w:sz="12" w:space="0" w:color="000000" w:themeColor="text1"/>
              <w:right w:val="single" w:sz="4" w:space="0" w:color="000000" w:themeColor="text1"/>
            </w:tcBorders>
            <w:vAlign w:val="center"/>
          </w:tcPr>
          <w:p w14:paraId="43AB88CD" w14:textId="77777777" w:rsidR="00E90EB4" w:rsidRDefault="009D3EB1" w:rsidP="009D3EB1">
            <w:pPr>
              <w:keepNext/>
              <w:keepLines/>
              <w:spacing w:after="0"/>
              <w:jc w:val="left"/>
              <w:rPr>
                <w:sz w:val="18"/>
                <w:szCs w:val="18"/>
              </w:rPr>
            </w:pPr>
            <w:r>
              <w:rPr>
                <w:sz w:val="18"/>
                <w:szCs w:val="18"/>
              </w:rPr>
              <w:t>NEEA</w:t>
            </w:r>
          </w:p>
        </w:tc>
        <w:tc>
          <w:tcPr>
            <w:tcW w:w="5490" w:type="dxa"/>
            <w:tcBorders>
              <w:left w:val="single" w:sz="4" w:space="0" w:color="000000" w:themeColor="text1"/>
              <w:right w:val="single" w:sz="12" w:space="0" w:color="000000" w:themeColor="text1"/>
            </w:tcBorders>
            <w:vAlign w:val="center"/>
          </w:tcPr>
          <w:p w14:paraId="26ABF658" w14:textId="77777777" w:rsidR="00E90EB4" w:rsidRPr="0084423C" w:rsidRDefault="00291759" w:rsidP="009D3EB1">
            <w:pPr>
              <w:keepNext/>
              <w:keepLines/>
              <w:spacing w:after="0"/>
              <w:jc w:val="left"/>
              <w:rPr>
                <w:rFonts w:cs="Times New Roman"/>
                <w:sz w:val="18"/>
                <w:szCs w:val="18"/>
              </w:rPr>
            </w:pPr>
            <w:r w:rsidRPr="00291759">
              <w:rPr>
                <w:rFonts w:cs="Times New Roman"/>
                <w:sz w:val="18"/>
                <w:szCs w:val="18"/>
              </w:rPr>
              <w:t>Northw</w:t>
            </w:r>
            <w:r w:rsidR="009D3EB1">
              <w:rPr>
                <w:rFonts w:cs="Times New Roman"/>
                <w:sz w:val="18"/>
                <w:szCs w:val="18"/>
              </w:rPr>
              <w:t>est Energy Efficiency Alliance</w:t>
            </w:r>
          </w:p>
        </w:tc>
      </w:tr>
      <w:tr w:rsidR="00291759" w:rsidRPr="001B05A5" w14:paraId="77254373" w14:textId="77777777" w:rsidTr="00963DD3">
        <w:trPr>
          <w:jc w:val="center"/>
        </w:trPr>
        <w:tc>
          <w:tcPr>
            <w:tcW w:w="1301" w:type="dxa"/>
            <w:tcBorders>
              <w:left w:val="single" w:sz="12" w:space="0" w:color="000000" w:themeColor="text1"/>
              <w:right w:val="single" w:sz="4" w:space="0" w:color="000000" w:themeColor="text1"/>
            </w:tcBorders>
            <w:vAlign w:val="center"/>
          </w:tcPr>
          <w:p w14:paraId="27C5397C" w14:textId="77777777" w:rsidR="00291759" w:rsidRDefault="009D3EB1" w:rsidP="009D3EB1">
            <w:pPr>
              <w:keepNext/>
              <w:keepLines/>
              <w:spacing w:after="0"/>
              <w:jc w:val="left"/>
              <w:rPr>
                <w:sz w:val="18"/>
                <w:szCs w:val="18"/>
              </w:rPr>
            </w:pPr>
            <w:r>
              <w:rPr>
                <w:sz w:val="18"/>
                <w:szCs w:val="18"/>
              </w:rPr>
              <w:t>PC</w:t>
            </w:r>
          </w:p>
        </w:tc>
        <w:tc>
          <w:tcPr>
            <w:tcW w:w="5490" w:type="dxa"/>
            <w:tcBorders>
              <w:left w:val="single" w:sz="4" w:space="0" w:color="000000" w:themeColor="text1"/>
              <w:right w:val="single" w:sz="12" w:space="0" w:color="000000" w:themeColor="text1"/>
            </w:tcBorders>
            <w:vAlign w:val="center"/>
          </w:tcPr>
          <w:p w14:paraId="543B046A" w14:textId="77777777" w:rsidR="00291759" w:rsidRPr="00291759" w:rsidRDefault="009D3EB1" w:rsidP="009D3EB1">
            <w:pPr>
              <w:keepNext/>
              <w:keepLines/>
              <w:spacing w:after="0"/>
              <w:jc w:val="left"/>
              <w:rPr>
                <w:rFonts w:cs="Times New Roman"/>
                <w:sz w:val="18"/>
                <w:szCs w:val="18"/>
              </w:rPr>
            </w:pPr>
            <w:r>
              <w:rPr>
                <w:rFonts w:cs="Times New Roman"/>
                <w:sz w:val="18"/>
                <w:szCs w:val="18"/>
              </w:rPr>
              <w:t>P</w:t>
            </w:r>
            <w:r w:rsidR="00291759" w:rsidRPr="00291759">
              <w:rPr>
                <w:rFonts w:cs="Times New Roman"/>
                <w:sz w:val="18"/>
                <w:szCs w:val="18"/>
              </w:rPr>
              <w:t xml:space="preserve">ersonal </w:t>
            </w:r>
            <w:r>
              <w:rPr>
                <w:rFonts w:cs="Times New Roman"/>
                <w:sz w:val="18"/>
                <w:szCs w:val="18"/>
              </w:rPr>
              <w:t>C</w:t>
            </w:r>
            <w:r w:rsidR="00291759" w:rsidRPr="00291759">
              <w:rPr>
                <w:rFonts w:cs="Times New Roman"/>
                <w:sz w:val="18"/>
                <w:szCs w:val="18"/>
              </w:rPr>
              <w:t>omputer</w:t>
            </w:r>
          </w:p>
        </w:tc>
      </w:tr>
      <w:tr w:rsidR="00E90EB4" w:rsidRPr="001B05A5" w14:paraId="060E78FE" w14:textId="77777777" w:rsidTr="00963DD3">
        <w:trPr>
          <w:jc w:val="center"/>
        </w:trPr>
        <w:tc>
          <w:tcPr>
            <w:tcW w:w="1301" w:type="dxa"/>
            <w:tcBorders>
              <w:left w:val="single" w:sz="12" w:space="0" w:color="000000" w:themeColor="text1"/>
              <w:right w:val="single" w:sz="4" w:space="0" w:color="000000" w:themeColor="text1"/>
            </w:tcBorders>
            <w:vAlign w:val="center"/>
          </w:tcPr>
          <w:p w14:paraId="6B999706" w14:textId="77777777" w:rsidR="00E90EB4" w:rsidRDefault="009D3EB1" w:rsidP="009D3EB1">
            <w:pPr>
              <w:keepNext/>
              <w:keepLines/>
              <w:spacing w:after="0"/>
              <w:jc w:val="left"/>
              <w:rPr>
                <w:sz w:val="18"/>
                <w:szCs w:val="18"/>
              </w:rPr>
            </w:pPr>
            <w:r>
              <w:rPr>
                <w:sz w:val="18"/>
                <w:szCs w:val="18"/>
              </w:rPr>
              <w:t>PS4</w:t>
            </w:r>
          </w:p>
        </w:tc>
        <w:tc>
          <w:tcPr>
            <w:tcW w:w="5490" w:type="dxa"/>
            <w:tcBorders>
              <w:left w:val="single" w:sz="4" w:space="0" w:color="000000" w:themeColor="text1"/>
              <w:right w:val="single" w:sz="12" w:space="0" w:color="000000" w:themeColor="text1"/>
            </w:tcBorders>
            <w:vAlign w:val="center"/>
          </w:tcPr>
          <w:p w14:paraId="7E43B1F1" w14:textId="77777777" w:rsidR="00E90EB4" w:rsidRPr="0084423C" w:rsidRDefault="00291759" w:rsidP="009D3EB1">
            <w:pPr>
              <w:keepNext/>
              <w:keepLines/>
              <w:spacing w:after="0"/>
              <w:jc w:val="left"/>
              <w:rPr>
                <w:rFonts w:cs="Times New Roman"/>
                <w:sz w:val="18"/>
                <w:szCs w:val="18"/>
              </w:rPr>
            </w:pPr>
            <w:r w:rsidRPr="00291759">
              <w:rPr>
                <w:rFonts w:cs="Times New Roman"/>
                <w:sz w:val="18"/>
                <w:szCs w:val="18"/>
              </w:rPr>
              <w:t>PlayStation 4</w:t>
            </w:r>
          </w:p>
        </w:tc>
      </w:tr>
      <w:tr w:rsidR="00291759" w:rsidRPr="001B05A5" w14:paraId="21D909CA" w14:textId="77777777" w:rsidTr="00963DD3">
        <w:trPr>
          <w:jc w:val="center"/>
        </w:trPr>
        <w:tc>
          <w:tcPr>
            <w:tcW w:w="1301" w:type="dxa"/>
            <w:tcBorders>
              <w:left w:val="single" w:sz="12" w:space="0" w:color="000000" w:themeColor="text1"/>
              <w:right w:val="single" w:sz="4" w:space="0" w:color="000000" w:themeColor="text1"/>
            </w:tcBorders>
            <w:vAlign w:val="center"/>
          </w:tcPr>
          <w:p w14:paraId="74446749" w14:textId="77777777" w:rsidR="00291759" w:rsidRDefault="009D3EB1" w:rsidP="009D3EB1">
            <w:pPr>
              <w:keepNext/>
              <w:keepLines/>
              <w:spacing w:after="0"/>
              <w:jc w:val="left"/>
              <w:rPr>
                <w:sz w:val="18"/>
                <w:szCs w:val="18"/>
              </w:rPr>
            </w:pPr>
            <w:r>
              <w:rPr>
                <w:sz w:val="18"/>
                <w:szCs w:val="18"/>
              </w:rPr>
              <w:t>STB</w:t>
            </w:r>
          </w:p>
        </w:tc>
        <w:tc>
          <w:tcPr>
            <w:tcW w:w="5490" w:type="dxa"/>
            <w:tcBorders>
              <w:left w:val="single" w:sz="4" w:space="0" w:color="000000" w:themeColor="text1"/>
              <w:right w:val="single" w:sz="12" w:space="0" w:color="000000" w:themeColor="text1"/>
            </w:tcBorders>
            <w:vAlign w:val="center"/>
          </w:tcPr>
          <w:p w14:paraId="7F3B5281" w14:textId="77777777" w:rsidR="00291759" w:rsidRPr="00291759" w:rsidRDefault="009D3EB1" w:rsidP="009D3EB1">
            <w:pPr>
              <w:keepNext/>
              <w:keepLines/>
              <w:spacing w:after="0"/>
              <w:jc w:val="left"/>
              <w:rPr>
                <w:rFonts w:cs="Times New Roman"/>
                <w:sz w:val="18"/>
                <w:szCs w:val="18"/>
              </w:rPr>
            </w:pPr>
            <w:r>
              <w:rPr>
                <w:rFonts w:cs="Times New Roman"/>
                <w:sz w:val="18"/>
                <w:szCs w:val="18"/>
              </w:rPr>
              <w:t>Set-Top B</w:t>
            </w:r>
            <w:r w:rsidR="00291759" w:rsidRPr="00291759">
              <w:rPr>
                <w:rFonts w:cs="Times New Roman"/>
                <w:sz w:val="18"/>
                <w:szCs w:val="18"/>
              </w:rPr>
              <w:t>ox</w:t>
            </w:r>
          </w:p>
        </w:tc>
      </w:tr>
      <w:tr w:rsidR="00E90EB4" w:rsidRPr="001B05A5" w14:paraId="4C508F3D" w14:textId="77777777" w:rsidTr="00963DD3">
        <w:trPr>
          <w:jc w:val="center"/>
        </w:trPr>
        <w:tc>
          <w:tcPr>
            <w:tcW w:w="1301" w:type="dxa"/>
            <w:tcBorders>
              <w:left w:val="single" w:sz="12" w:space="0" w:color="000000" w:themeColor="text1"/>
              <w:right w:val="single" w:sz="4" w:space="0" w:color="000000" w:themeColor="text1"/>
            </w:tcBorders>
            <w:vAlign w:val="center"/>
          </w:tcPr>
          <w:p w14:paraId="1E5945A7" w14:textId="77777777" w:rsidR="00E90EB4" w:rsidRDefault="009D3EB1" w:rsidP="009D3EB1">
            <w:pPr>
              <w:keepNext/>
              <w:keepLines/>
              <w:spacing w:after="0"/>
              <w:jc w:val="left"/>
              <w:rPr>
                <w:sz w:val="18"/>
                <w:szCs w:val="18"/>
              </w:rPr>
            </w:pPr>
            <w:r>
              <w:rPr>
                <w:sz w:val="18"/>
                <w:szCs w:val="18"/>
              </w:rPr>
              <w:t>TV</w:t>
            </w:r>
          </w:p>
        </w:tc>
        <w:tc>
          <w:tcPr>
            <w:tcW w:w="5490" w:type="dxa"/>
            <w:tcBorders>
              <w:left w:val="single" w:sz="4" w:space="0" w:color="000000" w:themeColor="text1"/>
              <w:right w:val="single" w:sz="12" w:space="0" w:color="000000" w:themeColor="text1"/>
            </w:tcBorders>
            <w:vAlign w:val="center"/>
          </w:tcPr>
          <w:p w14:paraId="61D1E524" w14:textId="77777777" w:rsidR="00E90EB4" w:rsidRPr="0084423C" w:rsidRDefault="009D3EB1" w:rsidP="009D3EB1">
            <w:pPr>
              <w:keepNext/>
              <w:keepLines/>
              <w:spacing w:after="0"/>
              <w:jc w:val="left"/>
              <w:rPr>
                <w:rFonts w:cs="Times New Roman"/>
                <w:sz w:val="18"/>
                <w:szCs w:val="18"/>
              </w:rPr>
            </w:pPr>
            <w:r>
              <w:rPr>
                <w:rFonts w:cs="Times New Roman"/>
                <w:sz w:val="18"/>
                <w:szCs w:val="18"/>
              </w:rPr>
              <w:t>T</w:t>
            </w:r>
            <w:r w:rsidR="00291759" w:rsidRPr="00291759">
              <w:rPr>
                <w:rFonts w:cs="Times New Roman"/>
                <w:sz w:val="18"/>
                <w:szCs w:val="18"/>
              </w:rPr>
              <w:t>elevision</w:t>
            </w:r>
          </w:p>
        </w:tc>
      </w:tr>
      <w:tr w:rsidR="00291759" w:rsidRPr="001B05A5" w14:paraId="507AF7F2" w14:textId="77777777" w:rsidTr="00963DD3">
        <w:trPr>
          <w:jc w:val="center"/>
        </w:trPr>
        <w:tc>
          <w:tcPr>
            <w:tcW w:w="1301" w:type="dxa"/>
            <w:tcBorders>
              <w:left w:val="single" w:sz="12" w:space="0" w:color="000000" w:themeColor="text1"/>
              <w:bottom w:val="single" w:sz="4" w:space="0" w:color="000000" w:themeColor="text1"/>
              <w:right w:val="single" w:sz="4" w:space="0" w:color="000000" w:themeColor="text1"/>
            </w:tcBorders>
            <w:vAlign w:val="center"/>
          </w:tcPr>
          <w:p w14:paraId="4993E5FC" w14:textId="77777777" w:rsidR="00291759" w:rsidRDefault="009D3EB1" w:rsidP="009D3EB1">
            <w:pPr>
              <w:keepNext/>
              <w:keepLines/>
              <w:spacing w:after="0"/>
              <w:jc w:val="left"/>
              <w:rPr>
                <w:sz w:val="18"/>
                <w:szCs w:val="18"/>
              </w:rPr>
            </w:pPr>
            <w:r>
              <w:rPr>
                <w:sz w:val="18"/>
                <w:szCs w:val="18"/>
              </w:rPr>
              <w:t>TWh</w:t>
            </w:r>
          </w:p>
        </w:tc>
        <w:tc>
          <w:tcPr>
            <w:tcW w:w="5490" w:type="dxa"/>
            <w:tcBorders>
              <w:left w:val="single" w:sz="4" w:space="0" w:color="000000" w:themeColor="text1"/>
              <w:bottom w:val="single" w:sz="4" w:space="0" w:color="000000" w:themeColor="text1"/>
              <w:right w:val="single" w:sz="12" w:space="0" w:color="000000" w:themeColor="text1"/>
            </w:tcBorders>
            <w:vAlign w:val="center"/>
          </w:tcPr>
          <w:p w14:paraId="49EAD1AF" w14:textId="77777777" w:rsidR="00291759" w:rsidRPr="00291759" w:rsidRDefault="00291759" w:rsidP="009D3EB1">
            <w:pPr>
              <w:keepNext/>
              <w:keepLines/>
              <w:spacing w:after="0"/>
              <w:jc w:val="left"/>
              <w:rPr>
                <w:rFonts w:cs="Times New Roman"/>
                <w:sz w:val="18"/>
                <w:szCs w:val="18"/>
              </w:rPr>
            </w:pPr>
            <w:r>
              <w:rPr>
                <w:rFonts w:cs="Times New Roman"/>
                <w:sz w:val="18"/>
                <w:szCs w:val="18"/>
              </w:rPr>
              <w:t>T</w:t>
            </w:r>
            <w:r w:rsidR="009D3EB1">
              <w:rPr>
                <w:rFonts w:cs="Times New Roman"/>
                <w:sz w:val="18"/>
                <w:szCs w:val="18"/>
              </w:rPr>
              <w:t>e</w:t>
            </w:r>
            <w:r w:rsidR="00195F39">
              <w:rPr>
                <w:rFonts w:cs="Times New Roman"/>
                <w:sz w:val="18"/>
                <w:szCs w:val="18"/>
              </w:rPr>
              <w:t>raw</w:t>
            </w:r>
            <w:r w:rsidR="009D3EB1">
              <w:rPr>
                <w:rFonts w:cs="Times New Roman"/>
                <w:sz w:val="18"/>
                <w:szCs w:val="18"/>
              </w:rPr>
              <w:t xml:space="preserve">att </w:t>
            </w:r>
            <w:r>
              <w:rPr>
                <w:rFonts w:cs="Times New Roman"/>
                <w:sz w:val="18"/>
                <w:szCs w:val="18"/>
              </w:rPr>
              <w:t>h</w:t>
            </w:r>
            <w:r w:rsidR="009D3EB1">
              <w:rPr>
                <w:rFonts w:cs="Times New Roman"/>
                <w:sz w:val="18"/>
                <w:szCs w:val="18"/>
              </w:rPr>
              <w:t>our</w:t>
            </w:r>
          </w:p>
        </w:tc>
      </w:tr>
      <w:tr w:rsidR="00291759" w:rsidRPr="001B05A5" w14:paraId="5B95A6C2" w14:textId="77777777" w:rsidTr="00963DD3">
        <w:trPr>
          <w:jc w:val="center"/>
        </w:trPr>
        <w:tc>
          <w:tcPr>
            <w:tcW w:w="1301" w:type="dxa"/>
            <w:tcBorders>
              <w:left w:val="single" w:sz="12" w:space="0" w:color="000000" w:themeColor="text1"/>
              <w:bottom w:val="single" w:sz="4" w:space="0" w:color="000000" w:themeColor="text1"/>
              <w:right w:val="single" w:sz="4" w:space="0" w:color="000000" w:themeColor="text1"/>
            </w:tcBorders>
            <w:vAlign w:val="center"/>
          </w:tcPr>
          <w:p w14:paraId="1886E2CC" w14:textId="77777777" w:rsidR="00291759" w:rsidRDefault="009D3EB1" w:rsidP="009D3EB1">
            <w:pPr>
              <w:keepNext/>
              <w:keepLines/>
              <w:spacing w:after="0"/>
              <w:jc w:val="left"/>
              <w:rPr>
                <w:sz w:val="18"/>
                <w:szCs w:val="18"/>
              </w:rPr>
            </w:pPr>
            <w:r>
              <w:rPr>
                <w:sz w:val="18"/>
                <w:szCs w:val="18"/>
              </w:rPr>
              <w:t>UEC</w:t>
            </w:r>
          </w:p>
        </w:tc>
        <w:tc>
          <w:tcPr>
            <w:tcW w:w="5490" w:type="dxa"/>
            <w:tcBorders>
              <w:left w:val="single" w:sz="4" w:space="0" w:color="000000" w:themeColor="text1"/>
              <w:bottom w:val="single" w:sz="4" w:space="0" w:color="000000" w:themeColor="text1"/>
              <w:right w:val="single" w:sz="12" w:space="0" w:color="000000" w:themeColor="text1"/>
            </w:tcBorders>
            <w:vAlign w:val="center"/>
          </w:tcPr>
          <w:p w14:paraId="09B76476" w14:textId="77777777" w:rsidR="00291759" w:rsidRPr="00291759" w:rsidRDefault="009D3EB1" w:rsidP="009D3EB1">
            <w:pPr>
              <w:keepNext/>
              <w:keepLines/>
              <w:spacing w:after="0"/>
              <w:jc w:val="left"/>
              <w:rPr>
                <w:rFonts w:cs="Times New Roman"/>
                <w:sz w:val="18"/>
                <w:szCs w:val="18"/>
              </w:rPr>
            </w:pPr>
            <w:r>
              <w:rPr>
                <w:rFonts w:cs="Times New Roman"/>
                <w:sz w:val="18"/>
                <w:szCs w:val="18"/>
              </w:rPr>
              <w:t>Unit Energy Consumption</w:t>
            </w:r>
          </w:p>
        </w:tc>
      </w:tr>
      <w:tr w:rsidR="00E90EB4" w:rsidRPr="001B05A5" w14:paraId="53156125" w14:textId="77777777" w:rsidTr="00963DD3">
        <w:trPr>
          <w:jc w:val="center"/>
        </w:trPr>
        <w:tc>
          <w:tcPr>
            <w:tcW w:w="1301"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172B3A8B" w14:textId="77777777" w:rsidR="00E90EB4" w:rsidRDefault="009D3EB1" w:rsidP="009D3EB1">
            <w:pPr>
              <w:keepNext/>
              <w:keepLines/>
              <w:spacing w:after="0"/>
              <w:jc w:val="left"/>
              <w:rPr>
                <w:sz w:val="18"/>
                <w:szCs w:val="18"/>
              </w:rPr>
            </w:pPr>
            <w:r>
              <w:rPr>
                <w:sz w:val="18"/>
                <w:szCs w:val="18"/>
              </w:rPr>
              <w:t>Xbox</w:t>
            </w:r>
          </w:p>
        </w:tc>
        <w:tc>
          <w:tcPr>
            <w:tcW w:w="5490"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7071A6B5" w14:textId="77777777" w:rsidR="00E90EB4" w:rsidRPr="0084423C" w:rsidRDefault="009D3EB1" w:rsidP="009D3EB1">
            <w:pPr>
              <w:keepNext/>
              <w:keepLines/>
              <w:spacing w:after="0"/>
              <w:jc w:val="left"/>
              <w:rPr>
                <w:rFonts w:cs="Times New Roman"/>
                <w:sz w:val="18"/>
                <w:szCs w:val="18"/>
              </w:rPr>
            </w:pPr>
            <w:r>
              <w:rPr>
                <w:rFonts w:cs="Times New Roman"/>
                <w:sz w:val="18"/>
                <w:szCs w:val="18"/>
              </w:rPr>
              <w:t>Xbox One</w:t>
            </w:r>
          </w:p>
        </w:tc>
      </w:tr>
    </w:tbl>
    <w:p w14:paraId="763C97CA" w14:textId="77777777" w:rsidR="00595788" w:rsidRDefault="00595788">
      <w:pPr>
        <w:spacing w:after="200"/>
        <w:jc w:val="left"/>
        <w:sectPr w:rsidR="00595788" w:rsidSect="00595788">
          <w:headerReference w:type="default" r:id="rId50"/>
          <w:pgSz w:w="12240" w:h="15840"/>
          <w:pgMar w:top="1440" w:right="1440" w:bottom="1440" w:left="1440" w:header="720" w:footer="720" w:gutter="0"/>
          <w:pgNumType w:start="1"/>
          <w:cols w:space="720"/>
          <w:docGrid w:linePitch="360"/>
        </w:sectPr>
      </w:pPr>
    </w:p>
    <w:p w14:paraId="0D9807F0" w14:textId="77777777" w:rsidR="00F4201C" w:rsidRDefault="00F4201C" w:rsidP="00595788">
      <w:pPr>
        <w:pStyle w:val="ApHeading1"/>
      </w:pPr>
      <w:bookmarkStart w:id="137" w:name="_Toc401667863"/>
      <w:r>
        <w:lastRenderedPageBreak/>
        <w:t>References</w:t>
      </w:r>
      <w:bookmarkEnd w:id="137"/>
    </w:p>
    <w:p w14:paraId="1C7536DD" w14:textId="77777777" w:rsidR="00B05032" w:rsidRPr="001F7805" w:rsidRDefault="00B05032" w:rsidP="00B05032">
      <w:pPr>
        <w:ind w:left="720" w:hanging="720"/>
      </w:pPr>
      <w:r w:rsidRPr="001F7805">
        <w:t xml:space="preserve">Appliance Standards Awareness Project. “Products.” Accessed July 2, 2014. </w:t>
      </w:r>
      <w:hyperlink r:id="rId51" w:anchor="residential" w:history="1">
        <w:r w:rsidRPr="001F7805">
          <w:rPr>
            <w:rStyle w:val="Hyperlink"/>
            <w:rFonts w:cs="Times New Roman"/>
            <w:szCs w:val="24"/>
          </w:rPr>
          <w:t>http://www.appliance-standards.org/products#residential</w:t>
        </w:r>
      </w:hyperlink>
      <w:r w:rsidRPr="001F7805">
        <w:t>.</w:t>
      </w:r>
    </w:p>
    <w:p w14:paraId="57C68A5C" w14:textId="77777777" w:rsidR="00B05032" w:rsidRPr="001F7805" w:rsidRDefault="00B05032" w:rsidP="00B05032">
      <w:pPr>
        <w:ind w:left="720" w:hanging="720"/>
        <w:rPr>
          <w:i/>
        </w:rPr>
      </w:pPr>
      <w:r w:rsidRPr="001F7805">
        <w:t xml:space="preserve">Energize Connecticut. “ENERGY STAR Retail Products: Save with ENERGY STAR Products.” Accessed July 2, 2014. </w:t>
      </w:r>
      <w:hyperlink r:id="rId52" w:history="1">
        <w:r w:rsidRPr="001F7805">
          <w:rPr>
            <w:rStyle w:val="Hyperlink"/>
            <w:rFonts w:cs="Times New Roman"/>
            <w:szCs w:val="24"/>
          </w:rPr>
          <w:t>http://energizect.com/residents/programs/energy-star%C2%AE-appliances</w:t>
        </w:r>
      </w:hyperlink>
      <w:r w:rsidRPr="001F7805">
        <w:t>.</w:t>
      </w:r>
      <w:r w:rsidRPr="001F7805">
        <w:rPr>
          <w:i/>
        </w:rPr>
        <w:t xml:space="preserve">  </w:t>
      </w:r>
    </w:p>
    <w:p w14:paraId="76B6CF99" w14:textId="77777777" w:rsidR="00B05032" w:rsidRPr="001F7805" w:rsidRDefault="00B05032" w:rsidP="00B05032">
      <w:pPr>
        <w:ind w:left="720" w:hanging="720"/>
      </w:pPr>
      <w:r w:rsidRPr="001F7805">
        <w:t xml:space="preserve">Energy Center of Wisconsin. “Electricity Savings Opportunities for Home Electronics and Other Plug-In Devices in Minnesota Homes: A technical and behavioral field assessment.” May 2010. Accessed August 5, 2014. </w:t>
      </w:r>
      <w:hyperlink r:id="rId53" w:history="1">
        <w:r w:rsidRPr="001F7805">
          <w:rPr>
            <w:rStyle w:val="Hyperlink"/>
            <w:rFonts w:cs="Times New Roman"/>
            <w:szCs w:val="24"/>
          </w:rPr>
          <w:t>http://www.ecw.org/publications/electricity-savings-opportunities-home-electronics-and-other-plug-devices-minnesota</w:t>
        </w:r>
      </w:hyperlink>
    </w:p>
    <w:p w14:paraId="5E471B2A" w14:textId="77777777" w:rsidR="00B05032" w:rsidRPr="001F7805" w:rsidRDefault="00B05032" w:rsidP="00B05032">
      <w:pPr>
        <w:ind w:left="720" w:hanging="720"/>
      </w:pPr>
      <w:r w:rsidRPr="001F7805">
        <w:t xml:space="preserve">ENERGY STAR. “All Certified Products.” Accessed July 1, 2014. </w:t>
      </w:r>
      <w:hyperlink r:id="rId54" w:history="1">
        <w:r w:rsidRPr="001F7805">
          <w:rPr>
            <w:rStyle w:val="Hyperlink"/>
            <w:rFonts w:cs="Times New Roman"/>
            <w:szCs w:val="24"/>
          </w:rPr>
          <w:t>http://www.energystar.gov/certified-products/certified-products?c=products.pr_find_es_products&amp;s=mega</w:t>
        </w:r>
      </w:hyperlink>
      <w:r w:rsidRPr="001F7805">
        <w:t>.</w:t>
      </w:r>
    </w:p>
    <w:p w14:paraId="68E9FA63" w14:textId="77777777" w:rsidR="00B05032" w:rsidRPr="001F7805" w:rsidRDefault="00B05032" w:rsidP="00B05032">
      <w:pPr>
        <w:ind w:left="720" w:hanging="720"/>
        <w:rPr>
          <w:rStyle w:val="Hyperlink"/>
          <w:rFonts w:cs="Times New Roman"/>
          <w:szCs w:val="24"/>
        </w:rPr>
      </w:pPr>
      <w:r w:rsidRPr="001F7805">
        <w:t xml:space="preserve">ENERGY STAR. “ENERGY STAR Most Efficient 2014.” Accessed July 1, 2014. </w:t>
      </w:r>
      <w:hyperlink r:id="rId55" w:history="1">
        <w:r w:rsidRPr="001F7805">
          <w:rPr>
            <w:rStyle w:val="Hyperlink"/>
            <w:rFonts w:cs="Times New Roman"/>
            <w:szCs w:val="24"/>
          </w:rPr>
          <w:t>http://www.energystar.gov/?c=most_efficient.me_index</w:t>
        </w:r>
      </w:hyperlink>
    </w:p>
    <w:p w14:paraId="7337A9E3" w14:textId="77777777" w:rsidR="00B05032" w:rsidRPr="001F7805" w:rsidRDefault="00B05032" w:rsidP="00B05032">
      <w:pPr>
        <w:ind w:left="720" w:hanging="720"/>
        <w:rPr>
          <w:rStyle w:val="Hyperlink"/>
          <w:rFonts w:cs="Times New Roman"/>
          <w:szCs w:val="24"/>
        </w:rPr>
      </w:pPr>
      <w:r w:rsidRPr="001F7805">
        <w:t xml:space="preserve">ENERGY STAR. “ENERGY STAR Unit Shipment and Market Penetration Report: Calendar Year 2013 Summary.” Accessed August 12, 2014. </w:t>
      </w:r>
      <w:hyperlink r:id="rId56" w:history="1">
        <w:r w:rsidRPr="001F7805">
          <w:rPr>
            <w:rStyle w:val="Hyperlink"/>
            <w:rFonts w:cs="Times New Roman"/>
            <w:szCs w:val="24"/>
          </w:rPr>
          <w:t>https://www.energystar.gov/index.cfm?c=partners.unit_shipment_data</w:t>
        </w:r>
      </w:hyperlink>
    </w:p>
    <w:p w14:paraId="397D6852" w14:textId="77777777" w:rsidR="00B05032" w:rsidRPr="001F7805" w:rsidRDefault="00B05032" w:rsidP="00B05032">
      <w:pPr>
        <w:ind w:left="720" w:hanging="720"/>
      </w:pPr>
      <w:r w:rsidRPr="001F7805">
        <w:t xml:space="preserve">ENERGY STAR. “Game Console Version 1.0 Recognition Program.” Accessed July 3, 2014. </w:t>
      </w:r>
      <w:hyperlink r:id="rId57" w:history="1">
        <w:r w:rsidRPr="001F7805">
          <w:rPr>
            <w:rStyle w:val="Hyperlink"/>
            <w:rFonts w:cs="Times New Roman"/>
            <w:szCs w:val="24"/>
          </w:rPr>
          <w:t>https://www.energystar.gov/products/specs/game_console_version_1_0_recognition_program_pd</w:t>
        </w:r>
      </w:hyperlink>
      <w:r w:rsidRPr="001F7805">
        <w:t>.</w:t>
      </w:r>
    </w:p>
    <w:p w14:paraId="1B17D933" w14:textId="77777777" w:rsidR="00B05032" w:rsidRPr="001F7805" w:rsidRDefault="00B05032" w:rsidP="00B05032">
      <w:pPr>
        <w:ind w:left="720" w:hanging="720"/>
      </w:pPr>
      <w:r w:rsidRPr="001F7805">
        <w:t xml:space="preserve">ENERGY STAR. “Set-top Boxes &amp; Cable Boxes for Consumers.” Accessed August 4, 2014. </w:t>
      </w:r>
      <w:hyperlink r:id="rId58" w:history="1">
        <w:r w:rsidRPr="001F7805">
          <w:rPr>
            <w:rStyle w:val="Hyperlink"/>
            <w:rFonts w:cs="Times New Roman"/>
            <w:szCs w:val="24"/>
          </w:rPr>
          <w:t>http://www.energystar.gov/certified-products/detail/set_top_boxes_cable_boxes</w:t>
        </w:r>
      </w:hyperlink>
    </w:p>
    <w:p w14:paraId="7CF430F9" w14:textId="77777777" w:rsidR="00B05032" w:rsidRPr="001F7805" w:rsidRDefault="00B05032" w:rsidP="00B05032">
      <w:pPr>
        <w:ind w:left="720" w:hanging="720"/>
      </w:pPr>
      <w:r w:rsidRPr="001F7805">
        <w:t xml:space="preserve">ENERGY STAR. “Small Network Equipment for Consumers.”  Accessed August 12, 2014. </w:t>
      </w:r>
      <w:hyperlink r:id="rId59" w:history="1">
        <w:r w:rsidRPr="001F7805">
          <w:rPr>
            <w:rStyle w:val="Hyperlink"/>
            <w:rFonts w:cs="Times New Roman"/>
            <w:szCs w:val="24"/>
          </w:rPr>
          <w:t>http://www.energystar.gov/certified-products/detail/small_network_equipment</w:t>
        </w:r>
      </w:hyperlink>
    </w:p>
    <w:p w14:paraId="3F07AA2E" w14:textId="77777777" w:rsidR="00B05032" w:rsidRDefault="00B05032" w:rsidP="00B05032">
      <w:pPr>
        <w:ind w:left="720" w:hanging="720"/>
      </w:pPr>
      <w:r w:rsidRPr="001F7805">
        <w:t xml:space="preserve">ENERGY STAR. “Televisions for Consumers: Overview.” Accessed August 4, 2014. </w:t>
      </w:r>
      <w:hyperlink r:id="rId60" w:history="1">
        <w:r w:rsidRPr="001F7805">
          <w:rPr>
            <w:rStyle w:val="Hyperlink"/>
            <w:rFonts w:cs="Times New Roman"/>
            <w:szCs w:val="24"/>
          </w:rPr>
          <w:t>http://www.energystar.gov/certified-products/detail/televisions</w:t>
        </w:r>
      </w:hyperlink>
    </w:p>
    <w:p w14:paraId="24188BF1" w14:textId="77777777" w:rsidR="00B05032" w:rsidRDefault="00B05032" w:rsidP="00B05032">
      <w:pPr>
        <w:ind w:left="720" w:hanging="720"/>
      </w:pPr>
      <w:r w:rsidRPr="001F7805">
        <w:t>Fraunhofer USA Center for Sustainable Energy Systems (Fraunhofer). “Energy Consumption of Consumer Electronics in US Homes in 2013.” June 2014.</w:t>
      </w:r>
    </w:p>
    <w:p w14:paraId="5CBD5F3C" w14:textId="77777777" w:rsidR="00B05032" w:rsidRPr="001F7805" w:rsidRDefault="00B05032" w:rsidP="00B05032">
      <w:pPr>
        <w:ind w:left="720" w:hanging="720"/>
      </w:pPr>
      <w:r w:rsidRPr="001F7805">
        <w:t>Lockheed Martin, Inc.</w:t>
      </w:r>
      <w:r>
        <w:t>,</w:t>
      </w:r>
      <w:r w:rsidRPr="001F7805">
        <w:t xml:space="preserve"> and Energy Solutions. “Advanced Power Strip Research Report.” August 2011. Accessed March 20, 2012. </w:t>
      </w:r>
      <w:hyperlink r:id="rId61" w:history="1">
        <w:r w:rsidRPr="001F7805">
          <w:rPr>
            <w:rStyle w:val="Hyperlink"/>
            <w:rFonts w:cs="Times New Roman"/>
            <w:szCs w:val="24"/>
          </w:rPr>
          <w:t>http://www.nyserda.ny.gov/-/media/Files/EERP/Residential/Energy-Efficient-and-ENERGY-STAR-Products/Power-Management-Research-Report.pdf</w:t>
        </w:r>
      </w:hyperlink>
    </w:p>
    <w:p w14:paraId="67FB73F6" w14:textId="77777777" w:rsidR="00B05032" w:rsidRPr="001F7805" w:rsidRDefault="00B05032" w:rsidP="00B05032">
      <w:pPr>
        <w:ind w:left="720" w:hanging="720"/>
        <w:rPr>
          <w:rStyle w:val="Hyperlink"/>
          <w:rFonts w:cs="Times New Roman"/>
          <w:szCs w:val="24"/>
        </w:rPr>
      </w:pPr>
      <w:r w:rsidRPr="001F7805">
        <w:t xml:space="preserve">Northwest Energy Efficiency Alliance (NEEA). “Energy Savings Opportunities and Market Descriptions for Four Residential Consumer Electronics Products: NEEA TV Savings </w:t>
      </w:r>
      <w:r w:rsidRPr="001F7805">
        <w:lastRenderedPageBreak/>
        <w:t xml:space="preserve">Calculation Tool.” Spreadsheet. September 2012. Accessed August 4, 2014. </w:t>
      </w:r>
      <w:hyperlink r:id="rId62" w:history="1">
        <w:r w:rsidRPr="001F7805">
          <w:rPr>
            <w:rStyle w:val="Hyperlink"/>
            <w:rFonts w:cs="Times New Roman"/>
            <w:szCs w:val="24"/>
          </w:rPr>
          <w:t>http://neea.org/resource-center/market-research-and-evaluation-reports?topic=532330ab-8fe1-4a25-bfe7-ad8cc53f2e28&amp;sort=PublicationDate+DESC</w:t>
        </w:r>
      </w:hyperlink>
    </w:p>
    <w:p w14:paraId="349C852D" w14:textId="77777777" w:rsidR="00B05032" w:rsidRPr="001F7805" w:rsidRDefault="00B05032" w:rsidP="00B05032">
      <w:pPr>
        <w:ind w:left="720" w:hanging="720"/>
        <w:rPr>
          <w:rStyle w:val="Hyperlink"/>
          <w:rFonts w:cs="Times New Roman"/>
          <w:szCs w:val="24"/>
        </w:rPr>
      </w:pPr>
      <w:r w:rsidRPr="001F7805">
        <w:t xml:space="preserve">NEEA. “Energy Savings Opportunities and Market Descriptions for Four Residential Consumer Electronics Products: NEEA Media Savings Calculation Tool.” Spreadsheet. September 2012. Accessed June 10, 2014. </w:t>
      </w:r>
      <w:hyperlink r:id="rId63" w:history="1">
        <w:r w:rsidRPr="001F7805">
          <w:rPr>
            <w:rStyle w:val="Hyperlink"/>
            <w:rFonts w:cs="Times New Roman"/>
            <w:szCs w:val="24"/>
          </w:rPr>
          <w:t>http://neea.org/resource-center/market-research-and-evaluation-reports?topic=532330ab-8fe1-4a25-bfe7-ad8cc53f2e28&amp;sort=PublicationDate+DESC</w:t>
        </w:r>
      </w:hyperlink>
    </w:p>
    <w:p w14:paraId="73ADDCE5" w14:textId="77777777" w:rsidR="00B05032" w:rsidRPr="001F7805" w:rsidRDefault="00B05032" w:rsidP="00B05032">
      <w:pPr>
        <w:ind w:left="720" w:hanging="720"/>
        <w:rPr>
          <w:rStyle w:val="Hyperlink"/>
          <w:rFonts w:cs="Times New Roman"/>
          <w:szCs w:val="24"/>
        </w:rPr>
      </w:pPr>
      <w:r w:rsidRPr="001F7805">
        <w:t xml:space="preserve">NEEA. “Energy Savings Opportunities and Market Descriptions DDC42BF7F151.” Spreadsheet. September 2012. Accessed June 10, 2014. </w:t>
      </w:r>
      <w:hyperlink r:id="rId64" w:history="1">
        <w:r w:rsidRPr="001F7805">
          <w:rPr>
            <w:rStyle w:val="Hyperlink"/>
            <w:rFonts w:cs="Times New Roman"/>
            <w:szCs w:val="24"/>
          </w:rPr>
          <w:t>http://neea.org/resource-center/market-research-and-evaluation-reports?topic=532330ab-8fe1-4a25-bfe7-ad8cc53f2e28&amp;sort=PublicationDate+DESC</w:t>
        </w:r>
      </w:hyperlink>
    </w:p>
    <w:p w14:paraId="70003D51" w14:textId="77777777" w:rsidR="00B05032" w:rsidRPr="001F7805" w:rsidRDefault="00B05032" w:rsidP="00B05032">
      <w:pPr>
        <w:ind w:left="720" w:hanging="720"/>
        <w:rPr>
          <w:rStyle w:val="Hyperlink"/>
          <w:rFonts w:cs="Times New Roman"/>
          <w:szCs w:val="24"/>
        </w:rPr>
      </w:pPr>
      <w:r w:rsidRPr="001F7805">
        <w:t xml:space="preserve">Northeast Energy Efficiency Partnerships (NEEP). “Business &amp; Consumer Electronics: A Strategy for the Northeast.” August 2013. </w:t>
      </w:r>
      <w:hyperlink r:id="rId65" w:history="1">
        <w:r w:rsidRPr="001F7805">
          <w:rPr>
            <w:rStyle w:val="Hyperlink"/>
            <w:rFonts w:cs="Times New Roman"/>
            <w:szCs w:val="24"/>
          </w:rPr>
          <w:t>http://neep.org/Assets/uploads/files/market-strategies/BCE/2013%20BCE%20Strategy_FINAL.pdf</w:t>
        </w:r>
      </w:hyperlink>
    </w:p>
    <w:p w14:paraId="543D3DA4" w14:textId="77777777" w:rsidR="00B05032" w:rsidRPr="001F7805" w:rsidRDefault="00B05032" w:rsidP="00B05032">
      <w:pPr>
        <w:ind w:left="720" w:hanging="720"/>
        <w:rPr>
          <w:rStyle w:val="Hyperlink"/>
          <w:rFonts w:cs="Times New Roman"/>
          <w:szCs w:val="24"/>
        </w:rPr>
      </w:pPr>
      <w:r w:rsidRPr="001F7805">
        <w:t>Natural Resources Defense Council (NRDC). “The Latest-Generation Video Game Consoles: How much energy do they waste when you’re not playing?” NRDC Issue Paper. IP:</w:t>
      </w:r>
      <w:r w:rsidR="006C5A8A">
        <w:t xml:space="preserve"> </w:t>
      </w:r>
      <w:r w:rsidRPr="001F7805">
        <w:t xml:space="preserve">14-04-B. May 2014. Accessed July 14, 2014. </w:t>
      </w:r>
      <w:hyperlink r:id="rId66" w:history="1">
        <w:r w:rsidRPr="001F7805">
          <w:rPr>
            <w:rStyle w:val="Hyperlink"/>
            <w:rFonts w:cs="Times New Roman"/>
            <w:szCs w:val="24"/>
          </w:rPr>
          <w:t>http://www.nrdc.org/energy/game-consoles/</w:t>
        </w:r>
      </w:hyperlink>
    </w:p>
    <w:p w14:paraId="4C72A81A" w14:textId="77777777" w:rsidR="00B05032" w:rsidRPr="001F7805" w:rsidRDefault="00B05032" w:rsidP="00B05032">
      <w:pPr>
        <w:ind w:left="720" w:hanging="720"/>
      </w:pPr>
      <w:r w:rsidRPr="001F7805">
        <w:t>NRDC. “Small Network Equipment Energy Consumption in US Homes: Using less energy to connect electronic devices.” NRDC Issue Paper. IP:</w:t>
      </w:r>
      <w:r w:rsidR="006C5A8A">
        <w:t xml:space="preserve"> </w:t>
      </w:r>
      <w:r w:rsidRPr="001F7805">
        <w:t xml:space="preserve">13-0-B. June 2013. Accessed August 12, 2014. </w:t>
      </w:r>
      <w:hyperlink r:id="rId67" w:history="1">
        <w:r w:rsidRPr="001F7805">
          <w:rPr>
            <w:rStyle w:val="Hyperlink"/>
            <w:rFonts w:cs="Times New Roman"/>
            <w:szCs w:val="24"/>
          </w:rPr>
          <w:t>http://www.nrdc.org/energy/files/residential-network-IP.pdf</w:t>
        </w:r>
      </w:hyperlink>
    </w:p>
    <w:p w14:paraId="65A7BA05" w14:textId="77777777" w:rsidR="00B05032" w:rsidRPr="001F7805" w:rsidRDefault="00B05032" w:rsidP="00B05032">
      <w:pPr>
        <w:ind w:left="720" w:hanging="720"/>
      </w:pPr>
      <w:r w:rsidRPr="001F7805">
        <w:t xml:space="preserve">NMR. “Massachusetts Consumer Electronics Potential Qualitative Research Study.” October 23, 2012. </w:t>
      </w:r>
      <w:hyperlink r:id="rId68" w:history="1">
        <w:r w:rsidRPr="001F7805">
          <w:rPr>
            <w:rStyle w:val="Hyperlink"/>
            <w:rFonts w:cs="Times New Roman"/>
            <w:szCs w:val="24"/>
          </w:rPr>
          <w:t>http://ma-eeac.org/wordpress/wp-content/uploads/MA-Consumer-Electronics-Potential-Qualitative-Research-Study.pdf</w:t>
        </w:r>
      </w:hyperlink>
    </w:p>
    <w:p w14:paraId="6E984414" w14:textId="77777777" w:rsidR="00B05032" w:rsidRPr="001F7805" w:rsidRDefault="00B05032" w:rsidP="00B05032">
      <w:pPr>
        <w:ind w:left="720" w:hanging="720"/>
      </w:pPr>
      <w:r w:rsidRPr="001F7805">
        <w:t xml:space="preserve">NMR. “Massachusetts Residential Retail Products: Consumer Electronics Saturation.” October 23, 2012. Accessed September 20, 2014. </w:t>
      </w:r>
      <w:hyperlink r:id="rId69" w:history="1">
        <w:r w:rsidRPr="001F7805">
          <w:rPr>
            <w:rStyle w:val="Hyperlink"/>
            <w:rFonts w:cs="Times New Roman"/>
            <w:szCs w:val="24"/>
          </w:rPr>
          <w:t>http://ma-eeac.org/wordpress/wp-content/uploads/Massachesetts-Residentail-Retail-Products_Consumer-Electronics-Saturation.pdf</w:t>
        </w:r>
      </w:hyperlink>
    </w:p>
    <w:p w14:paraId="6278B38B" w14:textId="77777777" w:rsidR="00B05032" w:rsidRPr="001F7805" w:rsidRDefault="00B05032" w:rsidP="00B05032">
      <w:pPr>
        <w:ind w:left="720" w:hanging="720"/>
      </w:pPr>
      <w:r w:rsidRPr="001F7805">
        <w:t xml:space="preserve">TopTen. Website. Accessed July 1, 2014. </w:t>
      </w:r>
      <w:hyperlink r:id="rId70" w:history="1">
        <w:r w:rsidRPr="001F7805">
          <w:rPr>
            <w:rStyle w:val="Hyperlink"/>
            <w:rFonts w:cs="Times New Roman"/>
            <w:szCs w:val="24"/>
          </w:rPr>
          <w:t>http://www.toptenusa.org</w:t>
        </w:r>
      </w:hyperlink>
      <w:r w:rsidRPr="001F7805">
        <w:t>.</w:t>
      </w:r>
    </w:p>
    <w:p w14:paraId="6FE777FB" w14:textId="77777777" w:rsidR="00B05032" w:rsidRPr="001F7805" w:rsidRDefault="00B05032" w:rsidP="00B05032">
      <w:pPr>
        <w:ind w:left="720" w:hanging="720"/>
      </w:pPr>
      <w:r w:rsidRPr="001F7805">
        <w:t>United Illuminating (UI) and Connecticut Light &amp; Power Company (CL&amp;P). “Connecticut Program Savings Document: 9</w:t>
      </w:r>
      <w:r w:rsidRPr="001F7805">
        <w:rPr>
          <w:vertAlign w:val="superscript"/>
        </w:rPr>
        <w:t>th</w:t>
      </w:r>
      <w:r w:rsidRPr="001F7805">
        <w:t xml:space="preserve"> Edition for 2014 Program Year.” January 6, 2014. Received July 22, 2014</w:t>
      </w:r>
    </w:p>
    <w:p w14:paraId="1DF2CD26" w14:textId="77777777" w:rsidR="00B05032" w:rsidRPr="001F7805" w:rsidRDefault="00B05032" w:rsidP="00B05032">
      <w:pPr>
        <w:ind w:left="720" w:hanging="720"/>
        <w:rPr>
          <w:rStyle w:val="Hyperlink"/>
          <w:rFonts w:cs="Times New Roman"/>
          <w:szCs w:val="24"/>
        </w:rPr>
      </w:pPr>
      <w:r w:rsidRPr="001F7805">
        <w:t xml:space="preserve">US DOE. “Rulemaking for Set-top Boxes Energy Conservation Standards and Test Procedure.” Accessed July 2, 2014. </w:t>
      </w:r>
      <w:hyperlink r:id="rId71" w:history="1">
        <w:r w:rsidRPr="001F7805">
          <w:rPr>
            <w:rStyle w:val="Hyperlink"/>
            <w:rFonts w:cs="Times New Roman"/>
            <w:szCs w:val="24"/>
          </w:rPr>
          <w:t>http://www1.eere.energy.gov/buildings/appliance_standards/rulemaking.aspx/ruleid/33</w:t>
        </w:r>
      </w:hyperlink>
    </w:p>
    <w:p w14:paraId="06B4F31D" w14:textId="77777777" w:rsidR="00B05032" w:rsidRPr="001F7805" w:rsidRDefault="00B05032" w:rsidP="00B05032">
      <w:pPr>
        <w:ind w:left="720" w:hanging="720"/>
      </w:pPr>
      <w:r w:rsidRPr="001F7805">
        <w:lastRenderedPageBreak/>
        <w:t xml:space="preserve">US DOE. “US Energy Department, Pay-Television Industry and Energy Efficiency Groups Announce Set-Top Box Energy Conservation Agreement; Will Cut Energy Use for 90 Million US Households, Save Consumers Billions.” Press Release. December 23, 2013. Accessed June 12, 2014. </w:t>
      </w:r>
      <w:hyperlink r:id="rId72" w:history="1">
        <w:r w:rsidRPr="001F7805">
          <w:rPr>
            <w:rStyle w:val="Hyperlink"/>
            <w:rFonts w:cs="Times New Roman"/>
            <w:szCs w:val="24"/>
          </w:rPr>
          <w:t>http://www.energy.gov/articles/us-energy-department-pay-television-industry-and-energy-efficiency-groups-announce-set-top</w:t>
        </w:r>
      </w:hyperlink>
      <w:r w:rsidRPr="001F7805">
        <w:t xml:space="preserve">. </w:t>
      </w:r>
    </w:p>
    <w:p w14:paraId="66DF5DE0" w14:textId="77777777" w:rsidR="00B05032" w:rsidRPr="001F7805" w:rsidRDefault="00B05032" w:rsidP="00B05032">
      <w:pPr>
        <w:ind w:left="720" w:hanging="720"/>
      </w:pPr>
      <w:r w:rsidRPr="001F7805">
        <w:t xml:space="preserve">US Office of Energy Efficiency &amp; Renewable Energy. “Standards and Test Procedures.” Accessed August 14, 2014. </w:t>
      </w:r>
      <w:hyperlink r:id="rId73" w:history="1">
        <w:r w:rsidRPr="001F7805">
          <w:rPr>
            <w:rStyle w:val="Hyperlink"/>
            <w:rFonts w:cs="Times New Roman"/>
            <w:szCs w:val="24"/>
          </w:rPr>
          <w:t>http://energy.gov/eere/buildings/standards-and-test-procedures</w:t>
        </w:r>
      </w:hyperlink>
    </w:p>
    <w:p w14:paraId="22213903" w14:textId="77777777" w:rsidR="00B05032" w:rsidRPr="00CB6A68" w:rsidRDefault="00B05032" w:rsidP="00B05032">
      <w:pPr>
        <w:ind w:left="720" w:hanging="720"/>
        <w:rPr>
          <w:lang w:bidi="ar-SA"/>
        </w:rPr>
      </w:pPr>
    </w:p>
    <w:sectPr w:rsidR="00B05032" w:rsidRPr="00CB6A68" w:rsidSect="00595788">
      <w:headerReference w:type="default" r:id="rId74"/>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8B2FC" w15:done="0"/>
  <w15:commentEx w15:paraId="3F16A00F" w15:done="0"/>
  <w15:commentEx w15:paraId="620745B9" w15:done="0"/>
  <w15:commentEx w15:paraId="0B479E79" w15:done="0"/>
  <w15:commentEx w15:paraId="1AFA675F" w15:done="0"/>
  <w15:commentEx w15:paraId="722D3F66" w15:done="0"/>
  <w15:commentEx w15:paraId="1AD2815E" w15:done="0"/>
  <w15:commentEx w15:paraId="72040A40" w15:done="0"/>
  <w15:commentEx w15:paraId="6F27CEB3" w15:done="0"/>
  <w15:commentEx w15:paraId="7682A26F" w15:done="0"/>
  <w15:commentEx w15:paraId="59E33E67" w15:done="0"/>
  <w15:commentEx w15:paraId="0ADBA5F8" w15:done="0"/>
  <w15:commentEx w15:paraId="713C8800" w15:done="0"/>
  <w15:commentEx w15:paraId="3A3A64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B3534" w14:textId="77777777" w:rsidR="000A67A7" w:rsidRDefault="000A67A7" w:rsidP="004341CC">
      <w:pPr>
        <w:spacing w:after="0" w:line="240" w:lineRule="auto"/>
      </w:pPr>
      <w:r>
        <w:separator/>
      </w:r>
    </w:p>
  </w:endnote>
  <w:endnote w:type="continuationSeparator" w:id="0">
    <w:p w14:paraId="73D1B79F" w14:textId="77777777" w:rsidR="000A67A7" w:rsidRDefault="000A67A7" w:rsidP="004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99021" w14:textId="77777777" w:rsidR="005D7DF4" w:rsidRPr="00A23036" w:rsidRDefault="005D7DF4" w:rsidP="00A23036">
    <w:pPr>
      <w:pStyle w:val="Footer"/>
      <w:jc w:val="center"/>
      <w:rPr>
        <w:rFonts w:ascii="Verdana" w:hAnsi="Verdana" w:cs="Arial"/>
        <w:b w:val="0"/>
        <w:color w:val="969696"/>
        <w:sz w:val="16"/>
        <w:szCs w:val="16"/>
      </w:rPr>
    </w:pPr>
    <w:r>
      <w:rPr>
        <w:rFonts w:ascii="Verdana" w:hAnsi="Verdana"/>
        <w:color w:val="008000"/>
      </w:rPr>
      <w:t>NMR</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4E25F5"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ADCE7F"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7E51A9"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9985E6" w14:textId="77777777" w:rsidR="005D7DF4" w:rsidRPr="00F37B89" w:rsidRDefault="005D7DF4" w:rsidP="00A23036">
    <w:pPr>
      <w:pStyle w:val="Footer"/>
      <w:jc w:val="center"/>
      <w:rPr>
        <w:rFonts w:ascii="Verdana" w:hAnsi="Verdana" w:cs="Arial"/>
        <w:color w:val="008000"/>
        <w:sz w:val="16"/>
        <w:szCs w:val="16"/>
      </w:rPr>
    </w:pPr>
    <w:r w:rsidRPr="00F37B89">
      <w:rPr>
        <w:rFonts w:ascii="Verdana" w:hAnsi="Verdana" w:cs="Arial"/>
        <w:color w:val="008000"/>
        <w:sz w:val="16"/>
        <w:szCs w:val="16"/>
      </w:rPr>
      <w:t>50-2 Howard Street, Somerville, MA  02144</w:t>
    </w:r>
  </w:p>
  <w:p w14:paraId="10B28613" w14:textId="77777777" w:rsidR="005D7DF4" w:rsidRPr="00F37B89" w:rsidRDefault="005D7DF4" w:rsidP="00A23036">
    <w:pPr>
      <w:pStyle w:val="Footer"/>
      <w:jc w:val="center"/>
      <w:rPr>
        <w:rFonts w:ascii="Verdana" w:hAnsi="Verdana" w:cs="Arial"/>
        <w:color w:val="008000"/>
        <w:sz w:val="16"/>
        <w:szCs w:val="16"/>
      </w:rPr>
    </w:pPr>
    <w:r w:rsidRPr="00F37B89">
      <w:rPr>
        <w:rFonts w:ascii="Verdana" w:hAnsi="Verdana" w:cs="Arial"/>
        <w:color w:val="008000"/>
        <w:sz w:val="16"/>
        <w:szCs w:val="16"/>
      </w:rPr>
      <w:t>Phone: (617) 284-6230   Fax: (617) 284-6239</w:t>
    </w:r>
  </w:p>
  <w:p w14:paraId="2BCE3F40" w14:textId="77777777" w:rsidR="005D7DF4" w:rsidRPr="00A23036" w:rsidRDefault="005D7DF4" w:rsidP="00A23036">
    <w:pPr>
      <w:pStyle w:val="Footer"/>
      <w:jc w:val="center"/>
      <w:rPr>
        <w:rFonts w:ascii="Verdana" w:hAnsi="Verdana" w:cs="Arial"/>
        <w:b w:val="0"/>
        <w:color w:val="969696"/>
        <w:sz w:val="16"/>
        <w:szCs w:val="16"/>
      </w:rPr>
    </w:pPr>
    <w:r w:rsidRPr="00F37B89">
      <w:rPr>
        <w:rFonts w:ascii="Verdana" w:hAnsi="Verdana" w:cs="Arial"/>
        <w:color w:val="008000"/>
        <w:sz w:val="16"/>
        <w:szCs w:val="16"/>
      </w:rPr>
      <w:t>www.nmrgroupinc.com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55BFA6" w14:textId="77777777" w:rsidR="005D7DF4" w:rsidRPr="00A23036" w:rsidRDefault="005D7DF4" w:rsidP="00A23036">
    <w:pPr>
      <w:pStyle w:val="Footer"/>
      <w:jc w:val="center"/>
      <w:rPr>
        <w:rFonts w:ascii="Verdana" w:hAnsi="Verdana" w:cs="Arial"/>
        <w:b w:val="0"/>
        <w:color w:val="969696"/>
        <w:sz w:val="16"/>
        <w:szCs w:val="16"/>
      </w:rPr>
    </w:pPr>
    <w:r>
      <w:rPr>
        <w:rFonts w:ascii="Verdana" w:hAnsi="Verdana"/>
        <w:color w:val="008000"/>
      </w:rPr>
      <w:t>NMR</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59A92E" w14:textId="77777777" w:rsidR="005D7DF4" w:rsidRPr="00A23036" w:rsidRDefault="005D7DF4" w:rsidP="00A23036">
    <w:pPr>
      <w:pStyle w:val="Footer"/>
      <w:jc w:val="center"/>
      <w:rPr>
        <w:rFonts w:ascii="Verdana" w:hAnsi="Verdana" w:cs="Arial"/>
        <w:b w:val="0"/>
        <w:color w:val="969696"/>
        <w:sz w:val="16"/>
        <w:szCs w:val="16"/>
      </w:rPr>
    </w:pPr>
    <w:r>
      <w:rPr>
        <w:rFonts w:ascii="Verdana" w:hAnsi="Verdana"/>
        <w:color w:val="008000"/>
      </w:rPr>
      <w:t>NMR</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3294A6"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83B892"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60CAFB"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7464B6"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B20F00" w14:textId="77777777" w:rsidR="005D7DF4" w:rsidRPr="00F85C85" w:rsidRDefault="005D7DF4" w:rsidP="00F85C85">
    <w:pPr>
      <w:pStyle w:val="Footer"/>
      <w:jc w:val="center"/>
      <w:rPr>
        <w:rFonts w:ascii="Verdana" w:hAnsi="Verdana" w:cs="Arial"/>
        <w:b w:val="0"/>
        <w:color w:val="969696"/>
        <w:sz w:val="16"/>
        <w:szCs w:val="16"/>
      </w:rPr>
    </w:pPr>
    <w:r>
      <w:rPr>
        <w:rFonts w:ascii="Verdana" w:hAnsi="Verdana"/>
        <w:color w:val="008000"/>
      </w:rPr>
      <w:t>NMR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C2D23" w14:textId="77777777" w:rsidR="000A67A7" w:rsidRDefault="000A67A7" w:rsidP="004341CC">
      <w:pPr>
        <w:spacing w:after="0" w:line="240" w:lineRule="auto"/>
      </w:pPr>
      <w:r>
        <w:separator/>
      </w:r>
    </w:p>
  </w:footnote>
  <w:footnote w:type="continuationSeparator" w:id="0">
    <w:p w14:paraId="6CF70517" w14:textId="77777777" w:rsidR="000A67A7" w:rsidRDefault="000A67A7" w:rsidP="004341CC">
      <w:pPr>
        <w:spacing w:after="0" w:line="240" w:lineRule="auto"/>
      </w:pPr>
      <w:r>
        <w:continuationSeparator/>
      </w:r>
    </w:p>
  </w:footnote>
  <w:footnote w:id="1">
    <w:p w14:paraId="229B1146" w14:textId="77777777" w:rsidR="005D7DF4" w:rsidRDefault="005D7DF4" w:rsidP="0001568B">
      <w:pPr>
        <w:pStyle w:val="FootnoteText"/>
      </w:pPr>
      <w:r>
        <w:rPr>
          <w:rStyle w:val="FootnoteReference"/>
        </w:rPr>
        <w:footnoteRef/>
      </w:r>
      <w:r>
        <w:t xml:space="preserve"> </w:t>
      </w:r>
      <w:r w:rsidRPr="00A66AF9">
        <w:t>To date, neither the United Illuminating Company (UI) nor Connecticut Light and Power (CL&amp;P, a Northeast Utilities Company) (collectively</w:t>
      </w:r>
      <w:r>
        <w:t xml:space="preserve"> referred to as</w:t>
      </w:r>
      <w:r w:rsidRPr="00A66AF9">
        <w:t xml:space="preserve"> the Companies) administer</w:t>
      </w:r>
      <w:r>
        <w:t>s</w:t>
      </w:r>
      <w:r w:rsidRPr="00A66AF9">
        <w:t xml:space="preserve"> a consumer electronics energy efficiency incentive program.</w:t>
      </w:r>
      <w:r>
        <w:t xml:space="preserve"> The Companies’ current efforts for consumer electronics include guidance on the Energize Connecticut Website to visit TopTen’s Website for listings of the most energy-efficient products (these include televisions, displays, and personal computers). </w:t>
      </w:r>
      <w:r w:rsidRPr="00607FE1">
        <w:rPr>
          <w:i/>
        </w:rPr>
        <w:t>Source</w:t>
      </w:r>
      <w:r w:rsidRPr="00477618">
        <w:rPr>
          <w:i/>
        </w:rPr>
        <w:t xml:space="preserve">: </w:t>
      </w:r>
      <w:r w:rsidRPr="009D3EB1">
        <w:t>Energize Connecticut.</w:t>
      </w:r>
      <w:r>
        <w:t xml:space="preserve"> “</w:t>
      </w:r>
      <w:r w:rsidRPr="009D3EB1">
        <w:t>ENERGY STAR Retail Products: Save with ENERGY STAR Products.</w:t>
      </w:r>
      <w:r>
        <w:t>”</w:t>
      </w:r>
      <w:r w:rsidRPr="009D3EB1">
        <w:t xml:space="preserve"> Accessed July 2, 2014. </w:t>
      </w:r>
      <w:hyperlink r:id="rId1" w:history="1">
        <w:r w:rsidRPr="009D3EB1">
          <w:rPr>
            <w:rStyle w:val="Hyperlink"/>
          </w:rPr>
          <w:t>http://energizect.com/residents/programs/energy-star%C2%AE-appliances</w:t>
        </w:r>
      </w:hyperlink>
      <w:r w:rsidRPr="009D3EB1">
        <w:t>.</w:t>
      </w:r>
      <w:r w:rsidRPr="00477618">
        <w:rPr>
          <w:i/>
        </w:rPr>
        <w:t xml:space="preserve">  </w:t>
      </w:r>
    </w:p>
  </w:footnote>
  <w:footnote w:id="2">
    <w:p w14:paraId="31F26506" w14:textId="77777777" w:rsidR="005D7DF4" w:rsidRDefault="005D7DF4" w:rsidP="0001568B">
      <w:pPr>
        <w:pStyle w:val="FootnoteText"/>
      </w:pPr>
      <w:r>
        <w:rPr>
          <w:rStyle w:val="FootnoteReference"/>
        </w:rPr>
        <w:footnoteRef/>
      </w:r>
      <w:r>
        <w:t xml:space="preserve"> Fraunhofer USA Center for Sustainable Energy Systems (Fraunhofer) research indicates that these product categories include televisions, set-top boxes, personal computers, network equipment, and video game consoles. For more details, see Fraunhofer. “Energy Consumption of Consumer Electronics in US Homes in 2013.” June 2014.</w:t>
      </w:r>
    </w:p>
  </w:footnote>
  <w:footnote w:id="3">
    <w:p w14:paraId="3B1A72AB" w14:textId="77777777" w:rsidR="005D7DF4" w:rsidRDefault="005D7DF4" w:rsidP="0001568B">
      <w:pPr>
        <w:pStyle w:val="FootnoteText"/>
      </w:pPr>
      <w:r>
        <w:rPr>
          <w:rStyle w:val="FootnoteReference"/>
        </w:rPr>
        <w:footnoteRef/>
      </w:r>
      <w:r>
        <w:t xml:space="preserve"> For more details, see </w:t>
      </w:r>
      <w:hyperlink r:id="rId2" w:history="1">
        <w:r w:rsidRPr="009E4991">
          <w:rPr>
            <w:rStyle w:val="Hyperlink"/>
          </w:rPr>
          <w:t>http://www.nyserda.ny.gov/-/media/Files/EERP/Residential/Energy-Efficient-and-ENERGY-STAR-Products/Power-Management-Research-Report.pdf</w:t>
        </w:r>
      </w:hyperlink>
      <w:r>
        <w:t xml:space="preserve">. </w:t>
      </w:r>
    </w:p>
  </w:footnote>
  <w:footnote w:id="4">
    <w:p w14:paraId="00ADDBA6" w14:textId="77777777" w:rsidR="005D7DF4" w:rsidRDefault="005D7DF4" w:rsidP="0001568B">
      <w:pPr>
        <w:pStyle w:val="FootnoteText"/>
      </w:pPr>
      <w:r>
        <w:rPr>
          <w:rStyle w:val="FootnoteReference"/>
        </w:rPr>
        <w:footnoteRef/>
      </w:r>
      <w:r>
        <w:t xml:space="preserve"> </w:t>
      </w:r>
      <w:r w:rsidRPr="00CB3DF2">
        <w:t>In 2012, NMR conducted a consumer electronics saturation study for Massachusetts Program Administrators.</w:t>
      </w:r>
      <w:r>
        <w:t xml:space="preserve"> For more details, see </w:t>
      </w:r>
      <w:hyperlink r:id="rId3" w:history="1">
        <w:r w:rsidRPr="008E46EB">
          <w:rPr>
            <w:rStyle w:val="Hyperlink"/>
          </w:rPr>
          <w:t>http://ma-eeac.org/wordpress/wp-content/uploads/Massachesetts-Residentail-Retail-Products_Consumer-Electronics-Saturation.pdf</w:t>
        </w:r>
      </w:hyperlink>
      <w:r>
        <w:t xml:space="preserve">. </w:t>
      </w:r>
    </w:p>
  </w:footnote>
  <w:footnote w:id="5">
    <w:p w14:paraId="28D01465" w14:textId="59541B82" w:rsidR="005D7DF4" w:rsidRDefault="005D7DF4" w:rsidP="00C275F5">
      <w:pPr>
        <w:pStyle w:val="FootnoteText"/>
      </w:pPr>
      <w:r>
        <w:rPr>
          <w:rStyle w:val="FootnoteReference"/>
        </w:rPr>
        <w:footnoteRef/>
      </w:r>
      <w:r>
        <w:t xml:space="preserve"> The Companies’ current efforts for consumer electronics include guidance on the Energize Connecticut Website to visit TopTen USA’s Website for listings of the most energy-efficient products (these include televisions, displays, and personal computers). </w:t>
      </w:r>
      <w:r w:rsidRPr="00607FE1">
        <w:rPr>
          <w:i/>
        </w:rPr>
        <w:t>Source</w:t>
      </w:r>
      <w:r w:rsidRPr="00477618">
        <w:rPr>
          <w:i/>
        </w:rPr>
        <w:t xml:space="preserve">: </w:t>
      </w:r>
      <w:r w:rsidRPr="009D3EB1">
        <w:t>Energize Connecticut.</w:t>
      </w:r>
      <w:r>
        <w:t xml:space="preserve"> “</w:t>
      </w:r>
      <w:r w:rsidRPr="009D3EB1">
        <w:t>ENERGY STAR Retail Products: Save with ENERGY STAR Products.</w:t>
      </w:r>
      <w:r>
        <w:t>”</w:t>
      </w:r>
      <w:r w:rsidRPr="009D3EB1">
        <w:t xml:space="preserve"> Accessed July 2, 2014. </w:t>
      </w:r>
      <w:hyperlink r:id="rId4" w:history="1">
        <w:r w:rsidRPr="009D3EB1">
          <w:rPr>
            <w:rStyle w:val="Hyperlink"/>
          </w:rPr>
          <w:t>http://energizect.com/residents/programs/energy-star%C2%AE-appliances</w:t>
        </w:r>
      </w:hyperlink>
      <w:r w:rsidRPr="009D3EB1">
        <w:t>.</w:t>
      </w:r>
      <w:r w:rsidRPr="00477618">
        <w:rPr>
          <w:i/>
        </w:rPr>
        <w:t xml:space="preserve">  </w:t>
      </w:r>
    </w:p>
  </w:footnote>
  <w:footnote w:id="6">
    <w:p w14:paraId="51AB3D29" w14:textId="77777777" w:rsidR="005D7DF4" w:rsidRDefault="005D7DF4">
      <w:pPr>
        <w:pStyle w:val="FootnoteText"/>
      </w:pPr>
      <w:r>
        <w:rPr>
          <w:rStyle w:val="FootnoteReference"/>
        </w:rPr>
        <w:footnoteRef/>
      </w:r>
      <w:r>
        <w:t xml:space="preserve"> STBs</w:t>
      </w:r>
      <w:r w:rsidRPr="00031F99">
        <w:t xml:space="preserve"> </w:t>
      </w:r>
      <w:r>
        <w:t>are</w:t>
      </w:r>
      <w:r w:rsidRPr="00031F99">
        <w:t xml:space="preserve"> device</w:t>
      </w:r>
      <w:r>
        <w:t>s whose</w:t>
      </w:r>
      <w:r w:rsidRPr="00031F99">
        <w:t xml:space="preserve"> primary function </w:t>
      </w:r>
      <w:r>
        <w:t>is</w:t>
      </w:r>
      <w:r w:rsidRPr="00031F99">
        <w:t xml:space="preserve"> </w:t>
      </w:r>
      <w:r>
        <w:t xml:space="preserve">to </w:t>
      </w:r>
      <w:r w:rsidRPr="00031F99">
        <w:t xml:space="preserve">receive </w:t>
      </w:r>
      <w:r>
        <w:t>TV</w:t>
      </w:r>
      <w:r w:rsidRPr="00031F99">
        <w:t xml:space="preserve"> signals </w:t>
      </w:r>
      <w:r>
        <w:t>so that programs can be watched or recorded. STBs vary in type and functionality: cable, satellite, internet-protocol, media streaming, smart TV equipment, etc.</w:t>
      </w:r>
    </w:p>
  </w:footnote>
  <w:footnote w:id="7">
    <w:p w14:paraId="31562467" w14:textId="77777777" w:rsidR="005D7DF4" w:rsidRDefault="005D7DF4">
      <w:pPr>
        <w:pStyle w:val="FootnoteText"/>
      </w:pPr>
      <w:r>
        <w:rPr>
          <w:rStyle w:val="FootnoteReference"/>
        </w:rPr>
        <w:footnoteRef/>
      </w:r>
      <w:r>
        <w:t xml:space="preserve"> Residential network equipment generally refers to two primary equipment types: 1) broadband access devices, which connect subscribers with high-speed internet, and 2) local area network [LAN] devices, such as routers, that allow consumer electronics within the household to communicate with each other.</w:t>
      </w:r>
    </w:p>
  </w:footnote>
  <w:footnote w:id="8">
    <w:p w14:paraId="50BF3EC3" w14:textId="1F2BFEB4" w:rsidR="005D7DF4" w:rsidRDefault="005D7DF4" w:rsidP="00D54BC2">
      <w:pPr>
        <w:pStyle w:val="FootnoteText"/>
      </w:pPr>
      <w:r>
        <w:rPr>
          <w:rStyle w:val="FootnoteReference"/>
        </w:rPr>
        <w:footnoteRef/>
      </w:r>
      <w:r>
        <w:t xml:space="preserve"> Fraunhofer USA Center for Sustainable Energy Systems (Fraunhofer). “Energy Consumption of Consumer Electronics in U.S. Homes in 2013.” June 2014.</w:t>
      </w:r>
    </w:p>
  </w:footnote>
  <w:footnote w:id="9">
    <w:p w14:paraId="53D79348" w14:textId="77777777" w:rsidR="005D7DF4" w:rsidRDefault="005D7DF4">
      <w:pPr>
        <w:pStyle w:val="FootnoteText"/>
      </w:pPr>
      <w:r>
        <w:rPr>
          <w:rStyle w:val="FootnoteReference"/>
        </w:rPr>
        <w:footnoteRef/>
      </w:r>
      <w:r>
        <w:t xml:space="preserve"> One study was published in 2010; the team used this publication due to an absence of more recent data on the topic.</w:t>
      </w:r>
    </w:p>
  </w:footnote>
  <w:footnote w:id="10">
    <w:p w14:paraId="103A2633" w14:textId="52FCA68E" w:rsidR="005D7DF4" w:rsidRDefault="005D7DF4">
      <w:pPr>
        <w:pStyle w:val="FootnoteText"/>
      </w:pPr>
      <w:r>
        <w:rPr>
          <w:rStyle w:val="FootnoteReference"/>
        </w:rPr>
        <w:footnoteRef/>
      </w:r>
      <w:r>
        <w:t xml:space="preserve"> Fraunhofer. “Energy Consumption of Consumer Electronics in U.S. Homes in 2013.”</w:t>
      </w:r>
    </w:p>
  </w:footnote>
  <w:footnote w:id="11">
    <w:p w14:paraId="09F42609" w14:textId="77777777" w:rsidR="005D7DF4" w:rsidRDefault="005D7DF4" w:rsidP="005D7DF4">
      <w:pPr>
        <w:pStyle w:val="FootnoteText"/>
      </w:pPr>
      <w:r>
        <w:rPr>
          <w:rStyle w:val="FootnoteReference"/>
        </w:rPr>
        <w:footnoteRef/>
      </w:r>
      <w:r>
        <w:t xml:space="preserve"> Currently, there is another recognition program: TopTen USA</w:t>
      </w:r>
      <w:r w:rsidRPr="00E008C7">
        <w:t xml:space="preserve"> </w:t>
      </w:r>
      <w:r>
        <w:t>(TopTen) which</w:t>
      </w:r>
      <w:r w:rsidRPr="007B5F57">
        <w:t xml:space="preserve"> identifies and lists the </w:t>
      </w:r>
      <w:r>
        <w:t xml:space="preserve">ten </w:t>
      </w:r>
      <w:r w:rsidRPr="007B5F57">
        <w:t xml:space="preserve">most energy-efficient </w:t>
      </w:r>
      <w:r>
        <w:t xml:space="preserve">models </w:t>
      </w:r>
      <w:r w:rsidRPr="007B5F57">
        <w:t>on the market</w:t>
      </w:r>
      <w:r>
        <w:t xml:space="preserve"> within a product category; for consumer electronics it recognizes TVs, PCs, and computer monitors in its energy efficiency recognition program. While not formally announced, the TopTen program is expected to draw to a close in the near future so this report does not address savings opportunities associated with it. </w:t>
      </w:r>
      <w:r w:rsidRPr="00A66EF6">
        <w:rPr>
          <w:i/>
        </w:rPr>
        <w:t>Source</w:t>
      </w:r>
      <w:r>
        <w:rPr>
          <w:i/>
        </w:rPr>
        <w:t>s</w:t>
      </w:r>
      <w:r>
        <w:t xml:space="preserve">: 1) Correspondence with a </w:t>
      </w:r>
      <w:r w:rsidRPr="00A66EF6">
        <w:t>Northeast Energy Efficiency Partnerships (NEEP)</w:t>
      </w:r>
      <w:r>
        <w:t xml:space="preserve"> staff member. October 20, 2014 and 2) TopTen</w:t>
      </w:r>
      <w:r w:rsidRPr="00E008C7">
        <w:t xml:space="preserve">. Website. Accessed </w:t>
      </w:r>
      <w:r>
        <w:t>July 1, 2014</w:t>
      </w:r>
      <w:r w:rsidRPr="00E008C7">
        <w:t xml:space="preserve">. </w:t>
      </w:r>
      <w:hyperlink r:id="rId5" w:history="1">
        <w:r w:rsidRPr="007E2DB0">
          <w:rPr>
            <w:rStyle w:val="Hyperlink"/>
          </w:rPr>
          <w:t>http://www.toptenusa.org</w:t>
        </w:r>
      </w:hyperlink>
      <w:r w:rsidRPr="00E008C7">
        <w:t>.</w:t>
      </w:r>
    </w:p>
  </w:footnote>
  <w:footnote w:id="12">
    <w:p w14:paraId="21D81B5E" w14:textId="77777777" w:rsidR="005D7DF4" w:rsidRDefault="005D7DF4">
      <w:pPr>
        <w:pStyle w:val="FootnoteText"/>
      </w:pPr>
      <w:r>
        <w:rPr>
          <w:rStyle w:val="FootnoteReference"/>
        </w:rPr>
        <w:footnoteRef/>
      </w:r>
      <w:r>
        <w:t xml:space="preserve"> ENERGY STAR. “All Certified Products.” Accessed July 1, 2014. </w:t>
      </w:r>
      <w:hyperlink r:id="rId6" w:history="1">
        <w:r w:rsidRPr="007E2DB0">
          <w:rPr>
            <w:rStyle w:val="Hyperlink"/>
          </w:rPr>
          <w:t>http://www.energystar.gov/certified-products/certified-products?c=products.pr_find_es_products&amp;s=mega</w:t>
        </w:r>
      </w:hyperlink>
      <w:r>
        <w:t xml:space="preserve">. </w:t>
      </w:r>
    </w:p>
  </w:footnote>
  <w:footnote w:id="13">
    <w:p w14:paraId="7A9E9865" w14:textId="77777777" w:rsidR="005D7DF4" w:rsidRDefault="005D7DF4">
      <w:pPr>
        <w:pStyle w:val="FootnoteText"/>
      </w:pPr>
      <w:r>
        <w:rPr>
          <w:rStyle w:val="FootnoteReference"/>
        </w:rPr>
        <w:footnoteRef/>
      </w:r>
      <w:r>
        <w:t xml:space="preserve"> ENERGY STAR. “Game Console Version 1.0 Recognition Program.” Accessed July 3, 2014. </w:t>
      </w:r>
      <w:hyperlink r:id="rId7" w:history="1">
        <w:r w:rsidRPr="003947A8">
          <w:rPr>
            <w:rStyle w:val="Hyperlink"/>
          </w:rPr>
          <w:t>https://www.energystar.gov/products/specs/game_console_version_1_0_recognition_program_pd</w:t>
        </w:r>
      </w:hyperlink>
      <w:r>
        <w:t xml:space="preserve">. </w:t>
      </w:r>
    </w:p>
  </w:footnote>
  <w:footnote w:id="14">
    <w:p w14:paraId="31496430" w14:textId="50E2B163" w:rsidR="005D7DF4" w:rsidRDefault="005D7DF4" w:rsidP="00B37864">
      <w:pPr>
        <w:pStyle w:val="FootnoteText"/>
      </w:pPr>
      <w:r>
        <w:rPr>
          <w:rStyle w:val="FootnoteReference"/>
        </w:rPr>
        <w:footnoteRef/>
      </w:r>
      <w:r>
        <w:t xml:space="preserve"> </w:t>
      </w:r>
      <w:r w:rsidRPr="007B5F57">
        <w:t>In 2011</w:t>
      </w:r>
      <w:r>
        <w:t>,</w:t>
      </w:r>
      <w:r w:rsidRPr="007B5F57">
        <w:t xml:space="preserve"> ENERGY STAR established “ENERGY STAR Most Efficient,” which recognizes the </w:t>
      </w:r>
      <w:r>
        <w:t xml:space="preserve">top 10% of </w:t>
      </w:r>
      <w:r w:rsidRPr="007B5F57">
        <w:t xml:space="preserve">efficient models for </w:t>
      </w:r>
      <w:r>
        <w:t>selected</w:t>
      </w:r>
      <w:r w:rsidRPr="007B5F57">
        <w:t xml:space="preserve"> product categories.</w:t>
      </w:r>
      <w:r>
        <w:t xml:space="preserve"> The Most Efficient program also recognizes computer monitors which are not examined in this report.</w:t>
      </w:r>
    </w:p>
  </w:footnote>
  <w:footnote w:id="15">
    <w:p w14:paraId="679544E6" w14:textId="3A80A2AD" w:rsidR="005D7DF4" w:rsidRDefault="005D7DF4" w:rsidP="00B37864">
      <w:pPr>
        <w:pStyle w:val="FootnoteText"/>
      </w:pPr>
      <w:r>
        <w:rPr>
          <w:rStyle w:val="FootnoteReference"/>
        </w:rPr>
        <w:footnoteRef/>
      </w:r>
      <w:r>
        <w:t xml:space="preserve">ENERGY STAR. “ENERGY STAR Most Efficient 2014.” Accessed July 1, 2014. </w:t>
      </w:r>
      <w:hyperlink r:id="rId8" w:history="1">
        <w:r w:rsidRPr="007E2DB0">
          <w:rPr>
            <w:rStyle w:val="Hyperlink"/>
          </w:rPr>
          <w:t>http://www.energystar.gov/?c=most_efficient.me_index</w:t>
        </w:r>
      </w:hyperlink>
      <w:r w:rsidRPr="00E008C7">
        <w:t>.</w:t>
      </w:r>
    </w:p>
  </w:footnote>
  <w:footnote w:id="16">
    <w:p w14:paraId="648125FC" w14:textId="77777777" w:rsidR="005D7DF4" w:rsidRDefault="005D7DF4">
      <w:pPr>
        <w:pStyle w:val="FootnoteText"/>
      </w:pPr>
      <w:r>
        <w:rPr>
          <w:rStyle w:val="FootnoteReference"/>
        </w:rPr>
        <w:footnoteRef/>
      </w:r>
      <w:r>
        <w:t xml:space="preserve"> US DOE. “US Energy Department, Pay-Television Industry and Energy Efficiency Groups Announce Set-Top Box Energy Conservation Agreement; Will Cut Energy Use for 90 Million US Households, Save Consumers Billions.” Press Release. December 23, 2013. Accessed June 12, 2014. </w:t>
      </w:r>
      <w:hyperlink r:id="rId9" w:history="1">
        <w:r w:rsidRPr="007E2DB0">
          <w:rPr>
            <w:rStyle w:val="Hyperlink"/>
          </w:rPr>
          <w:t>http://www.energy.gov/articles/us-energy-department-pay-television-industry-and-energy-efficiency-groups-announce-set-top</w:t>
        </w:r>
      </w:hyperlink>
      <w:r>
        <w:t xml:space="preserve">. </w:t>
      </w:r>
    </w:p>
  </w:footnote>
  <w:footnote w:id="17">
    <w:p w14:paraId="499B2D1B" w14:textId="77777777" w:rsidR="005D7DF4" w:rsidRDefault="005D7DF4">
      <w:pPr>
        <w:pStyle w:val="FootnoteText"/>
      </w:pPr>
      <w:r>
        <w:rPr>
          <w:rStyle w:val="FootnoteReference"/>
        </w:rPr>
        <w:footnoteRef/>
      </w:r>
      <w:r>
        <w:t xml:space="preserve"> ENERGY STAR Version 4.1 will go into effect at the end of 2014; however, the stipulation in the agreement is still based on Version 3.0.</w:t>
      </w:r>
    </w:p>
  </w:footnote>
  <w:footnote w:id="18">
    <w:p w14:paraId="611E489D" w14:textId="77777777" w:rsidR="005D7DF4" w:rsidRDefault="005D7DF4">
      <w:pPr>
        <w:pStyle w:val="FootnoteText"/>
      </w:pPr>
      <w:r>
        <w:rPr>
          <w:rStyle w:val="FootnoteReference"/>
        </w:rPr>
        <w:footnoteRef/>
      </w:r>
      <w:r>
        <w:t xml:space="preserve"> Appliance Standards Awareness Project. “Products.” Accessed July 2, 2014. </w:t>
      </w:r>
      <w:hyperlink r:id="rId10" w:anchor="residential" w:history="1">
        <w:r w:rsidRPr="007E2DB0">
          <w:rPr>
            <w:rStyle w:val="Hyperlink"/>
          </w:rPr>
          <w:t>http://www.appliance-standards.org/products#residential</w:t>
        </w:r>
      </w:hyperlink>
    </w:p>
  </w:footnote>
  <w:footnote w:id="19">
    <w:p w14:paraId="61D486C6" w14:textId="77777777" w:rsidR="005D7DF4" w:rsidRDefault="005D7DF4" w:rsidP="006710BE">
      <w:pPr>
        <w:pStyle w:val="FootnoteText"/>
      </w:pPr>
      <w:r>
        <w:rPr>
          <w:rStyle w:val="FootnoteReference"/>
        </w:rPr>
        <w:footnoteRef/>
      </w:r>
      <w:r>
        <w:t xml:space="preserve"> Similar to standard power strips, smart strips provide savings over standard power strips through some form of master switch that turns power outlets on or off.</w:t>
      </w:r>
    </w:p>
  </w:footnote>
  <w:footnote w:id="20">
    <w:p w14:paraId="31434EAB" w14:textId="77777777" w:rsidR="005D7DF4" w:rsidRDefault="005D7DF4">
      <w:pPr>
        <w:pStyle w:val="FootnoteText"/>
      </w:pPr>
      <w:r>
        <w:rPr>
          <w:rStyle w:val="FootnoteReference"/>
        </w:rPr>
        <w:footnoteRef/>
      </w:r>
      <w:r>
        <w:t xml:space="preserve"> ENERGY STAR market penetration is the ratio of ENERGY STAR units shipped to the number of total units shipped in a given year within the US. Three of the product categories that NMR investigates in this report were included in ENERGY STAR’s market penetration report for 2013: TVs, STBs, and PCs. TVs (84%) and STBs (89%) had the highest market penetration in 2013. </w:t>
      </w:r>
      <w:r w:rsidRPr="007C080D">
        <w:rPr>
          <w:i/>
        </w:rPr>
        <w:t>Source</w:t>
      </w:r>
      <w:r>
        <w:t xml:space="preserve">: </w:t>
      </w:r>
      <w:r w:rsidRPr="001A65BE">
        <w:t xml:space="preserve">ENERGY STAR. “ENERGY STAR Unit Shipment and Market Penetration Report: Calendar Year 2013 Summary.” Accessed August 12, 2014. </w:t>
      </w:r>
      <w:hyperlink r:id="rId11" w:history="1">
        <w:r w:rsidRPr="001A65BE">
          <w:rPr>
            <w:rStyle w:val="Hyperlink"/>
          </w:rPr>
          <w:t>https://www.energystar.gov/index.cfm?c=partners.unit_shipment_data</w:t>
        </w:r>
      </w:hyperlink>
    </w:p>
  </w:footnote>
  <w:footnote w:id="21">
    <w:p w14:paraId="7E2DCFCF" w14:textId="77777777" w:rsidR="005D7DF4" w:rsidRDefault="005D7DF4">
      <w:pPr>
        <w:pStyle w:val="FootnoteText"/>
      </w:pPr>
      <w:r>
        <w:rPr>
          <w:rStyle w:val="FootnoteReference"/>
        </w:rPr>
        <w:footnoteRef/>
      </w:r>
      <w:r>
        <w:t xml:space="preserve"> </w:t>
      </w:r>
      <w:r w:rsidRPr="00B764EB">
        <w:t xml:space="preserve">As described previously, NMR used Fraunhofer’s energy consumption </w:t>
      </w:r>
      <w:r>
        <w:t xml:space="preserve">and related figures </w:t>
      </w:r>
      <w:r w:rsidRPr="00B764EB">
        <w:t>to</w:t>
      </w:r>
      <w:r>
        <w:t xml:space="preserve"> help</w:t>
      </w:r>
      <w:r w:rsidRPr="00B764EB">
        <w:t xml:space="preserve"> identify the product categorie</w:t>
      </w:r>
      <w:r>
        <w:t>s on which to focus this report; Fraunhofer’s study focused on energy consumption and usage of all of the product categories of interest.</w:t>
      </w:r>
      <w:r w:rsidRPr="00B764EB">
        <w:t xml:space="preserve"> </w:t>
      </w:r>
      <w:r>
        <w:t xml:space="preserve">Fraunhofer’s UEC estimates are generally different from those of the other researchers. Because Fraunhofer does not address savings measures and the issues discussed here, </w:t>
      </w:r>
      <w:r w:rsidRPr="00B764EB">
        <w:t xml:space="preserve">NMR chose to </w:t>
      </w:r>
      <w:r w:rsidRPr="00234B9D">
        <w:t>limit</w:t>
      </w:r>
      <w:r w:rsidRPr="00B764EB">
        <w:t xml:space="preserve"> utilizing Fraunhofer’s </w:t>
      </w:r>
      <w:r>
        <w:t>consumption estimates</w:t>
      </w:r>
      <w:r w:rsidRPr="00B764EB">
        <w:t xml:space="preserve"> in this section </w:t>
      </w:r>
      <w:r>
        <w:t>to increase consistency in estimates within a savings measure.</w:t>
      </w:r>
    </w:p>
  </w:footnote>
  <w:footnote w:id="22">
    <w:p w14:paraId="3E8A224C" w14:textId="77777777" w:rsidR="005D7DF4" w:rsidRDefault="005D7DF4">
      <w:pPr>
        <w:pStyle w:val="FootnoteText"/>
      </w:pPr>
      <w:r>
        <w:rPr>
          <w:rStyle w:val="FootnoteReference"/>
        </w:rPr>
        <w:footnoteRef/>
      </w:r>
      <w:r>
        <w:t xml:space="preserve"> The Set-top Box Energy Conservation Agreement attempts to ensure that 90% of deployed/purchased units shall meet ENERGY STAR V3.0 specifications—meaning that addressing ENERGY STAR V3.0 may be irrelevant because of changes in market share. ENERGY STAR V4.1 specifications for STBs, which go into effect at the end of 2014, could present additional potential savings. It is unclear how much more savings these models will create.</w:t>
      </w:r>
    </w:p>
  </w:footnote>
  <w:footnote w:id="23">
    <w:p w14:paraId="54529F3D" w14:textId="77777777" w:rsidR="005D7DF4" w:rsidRDefault="005D7DF4" w:rsidP="00E473E6">
      <w:pPr>
        <w:pStyle w:val="FootnoteText"/>
      </w:pPr>
      <w:r>
        <w:rPr>
          <w:rStyle w:val="FootnoteReference"/>
        </w:rPr>
        <w:footnoteRef/>
      </w:r>
      <w:r>
        <w:t xml:space="preserve"> </w:t>
      </w:r>
      <w:r w:rsidRPr="003E1C12">
        <w:t>NRDC. “Small Network Equipment Energy Consumption in US Homes: Using less energy to connect electronic devices.” NRDC Issue Paper. IP:</w:t>
      </w:r>
      <w:r>
        <w:t xml:space="preserve"> </w:t>
      </w:r>
      <w:r w:rsidRPr="003E1C12">
        <w:t xml:space="preserve">13-0-B. June 2013. Accessed August 12, 2014. </w:t>
      </w:r>
      <w:hyperlink r:id="rId12" w:history="1">
        <w:r w:rsidRPr="003E1C12">
          <w:rPr>
            <w:rStyle w:val="Hyperlink"/>
          </w:rPr>
          <w:t>http://www.nrdc.org/energy/files/residential-network-IP.pdf</w:t>
        </w:r>
      </w:hyperlink>
    </w:p>
  </w:footnote>
  <w:footnote w:id="24">
    <w:p w14:paraId="00B3DB01" w14:textId="77777777" w:rsidR="005D7DF4" w:rsidRDefault="005D7DF4" w:rsidP="006710BE">
      <w:pPr>
        <w:pStyle w:val="FootnoteText"/>
      </w:pPr>
      <w:r>
        <w:rPr>
          <w:rStyle w:val="FootnoteReference"/>
        </w:rPr>
        <w:footnoteRef/>
      </w:r>
      <w:r>
        <w:t xml:space="preserve"> </w:t>
      </w:r>
      <w:r w:rsidRPr="004B6931">
        <w:t>NMR. “Massachusetts Consumer Electronics Potential Qualitative Research Study.”</w:t>
      </w:r>
      <w:r>
        <w:t xml:space="preserve"> October 23, 2012. </w:t>
      </w:r>
      <w:hyperlink r:id="rId13" w:history="1">
        <w:r w:rsidRPr="009E4991">
          <w:rPr>
            <w:rStyle w:val="Hyperlink"/>
          </w:rPr>
          <w:t>http://ma-eeac.org/wordpress/wp-content/uploads/MA-Consumer-Electronics-Potential-Qualitative-Research-Study.pdf</w:t>
        </w:r>
      </w:hyperlink>
      <w:r>
        <w:t>.</w:t>
      </w:r>
    </w:p>
  </w:footnote>
  <w:footnote w:id="25">
    <w:p w14:paraId="0EE561CD" w14:textId="77777777" w:rsidR="005D7DF4" w:rsidRDefault="005D7DF4" w:rsidP="006710BE">
      <w:pPr>
        <w:pStyle w:val="FootnoteText"/>
      </w:pPr>
      <w:r>
        <w:rPr>
          <w:rStyle w:val="FootnoteReference"/>
        </w:rPr>
        <w:footnoteRef/>
      </w:r>
      <w:r>
        <w:t xml:space="preserve"> Lockheed Martin, Inc. and Energy Solutions. “Advanced Power Strip Research Report.” August 2011. Accessed March 20, 2012. </w:t>
      </w:r>
      <w:hyperlink r:id="rId14" w:history="1">
        <w:r w:rsidRPr="009E4991">
          <w:rPr>
            <w:rStyle w:val="Hyperlink"/>
          </w:rPr>
          <w:t>http://www.nyserda.ny.gov/-/media/Files/EERP/Residential/Energy-Efficient-and-ENERGY-STAR-Products/Power-Management-Research-Report.pdf</w:t>
        </w:r>
      </w:hyperlink>
      <w:r>
        <w:t xml:space="preserve">. </w:t>
      </w:r>
    </w:p>
  </w:footnote>
  <w:footnote w:id="26">
    <w:p w14:paraId="10E59DF0" w14:textId="77777777" w:rsidR="005D7DF4" w:rsidRDefault="005D7DF4">
      <w:pPr>
        <w:pStyle w:val="FootnoteText"/>
      </w:pPr>
      <w:r>
        <w:rPr>
          <w:rStyle w:val="FootnoteReference"/>
        </w:rPr>
        <w:footnoteRef/>
      </w:r>
      <w:r>
        <w:t xml:space="preserve"> </w:t>
      </w:r>
      <w:r w:rsidRPr="009F08A9">
        <w:t>For more comprehensive explanations and additional factors</w:t>
      </w:r>
      <w:r>
        <w:t>,</w:t>
      </w:r>
      <w:r w:rsidRPr="009F08A9">
        <w:t xml:space="preserve"> please </w:t>
      </w:r>
      <w:r>
        <w:t>review</w:t>
      </w:r>
      <w:r w:rsidRPr="009F08A9">
        <w:t xml:space="preserve"> the report:</w:t>
      </w:r>
      <w:r w:rsidRPr="00EB1DCF">
        <w:t xml:space="preserve"> NMR. “Massachusetts Consumer Electronics Potenti</w:t>
      </w:r>
      <w:r>
        <w:t>al Qualitative Research Study.”</w:t>
      </w:r>
    </w:p>
  </w:footnote>
  <w:footnote w:id="27">
    <w:p w14:paraId="53E8C276" w14:textId="7ED58A9F" w:rsidR="005D7DF4" w:rsidRDefault="005D7DF4" w:rsidP="00C21239">
      <w:pPr>
        <w:pStyle w:val="FootnoteText"/>
      </w:pPr>
      <w:r>
        <w:rPr>
          <w:rStyle w:val="FootnoteReference"/>
        </w:rPr>
        <w:footnoteRef/>
      </w:r>
      <w:r>
        <w:t xml:space="preserve"> In this sense, “saturation rates” refers to the number of households or units where a </w:t>
      </w:r>
      <w:r w:rsidR="0019314E">
        <w:t xml:space="preserve">device </w:t>
      </w:r>
      <w:r>
        <w:t xml:space="preserve">has already been </w:t>
      </w:r>
      <w:r w:rsidR="0019314E">
        <w:t>installed or is in use</w:t>
      </w:r>
      <w:r>
        <w:t>.</w:t>
      </w:r>
    </w:p>
  </w:footnote>
  <w:footnote w:id="28">
    <w:p w14:paraId="237908E4" w14:textId="77777777" w:rsidR="005D7DF4" w:rsidRDefault="005D7DF4" w:rsidP="00754453">
      <w:pPr>
        <w:pStyle w:val="FootnoteText"/>
      </w:pPr>
      <w:r>
        <w:rPr>
          <w:rStyle w:val="FootnoteReference"/>
        </w:rPr>
        <w:footnoteRef/>
      </w:r>
      <w:r>
        <w:t xml:space="preserve"> The team determined that using findings from the Massachusetts market was appropriate given that it is a neighboring state. For more details, see </w:t>
      </w:r>
      <w:hyperlink r:id="rId15" w:history="1">
        <w:r w:rsidRPr="008E46EB">
          <w:rPr>
            <w:rStyle w:val="Hyperlink"/>
          </w:rPr>
          <w:t>http://ma-eeac.org/wordpress/wp-content/uploads/Massachesetts-Residentail-Retail-Products_Consumer-Electronics-Saturation.pdf</w:t>
        </w:r>
      </w:hyperlink>
    </w:p>
  </w:footnote>
  <w:footnote w:id="29">
    <w:p w14:paraId="44E45D8B" w14:textId="2AE0D172" w:rsidR="005D7DF4" w:rsidRDefault="005D7DF4">
      <w:pPr>
        <w:pStyle w:val="FootnoteText"/>
      </w:pPr>
      <w:r>
        <w:rPr>
          <w:rStyle w:val="FootnoteReference"/>
        </w:rPr>
        <w:footnoteRef/>
      </w:r>
      <w:r>
        <w:t xml:space="preserve"> The team chose to illustrate this concept using this specific measure because it offers substantial per-unit savings and because relevant and applicable Massachusetts saturation data were readily available.</w:t>
      </w:r>
    </w:p>
  </w:footnote>
  <w:footnote w:id="30">
    <w:p w14:paraId="1E91FE09" w14:textId="77777777" w:rsidR="005D7DF4" w:rsidRDefault="005D7DF4">
      <w:pPr>
        <w:pStyle w:val="FootnoteText"/>
      </w:pPr>
      <w:r>
        <w:rPr>
          <w:rStyle w:val="FootnoteReference"/>
        </w:rPr>
        <w:footnoteRef/>
      </w:r>
      <w:r>
        <w:t xml:space="preserve"> Such as through the Home Energy Solutions or Home Energy Solutions-Income Eligible Programs.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052508" w14:textId="77777777" w:rsidR="005D7DF4" w:rsidRDefault="00302A02">
    <w:pPr>
      <w:pStyle w:val="Header"/>
    </w:pPr>
    <w:r>
      <w:rPr>
        <w:noProof/>
      </w:rPr>
      <w:pict w14:anchorId="5C54BE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2" o:spid="_x0000_s2050"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0763C3" w14:textId="77777777" w:rsidR="005D7DF4" w:rsidRDefault="00302A02" w:rsidP="005C2122">
    <w:pPr>
      <w:pStyle w:val="Header"/>
      <w:tabs>
        <w:tab w:val="clear" w:pos="9360"/>
        <w:tab w:val="right" w:pos="12960"/>
      </w:tabs>
      <w:jc w:val="left"/>
    </w:pPr>
    <w:r>
      <w:rPr>
        <w:noProof/>
      </w:rPr>
      <w:pict w14:anchorId="05C7FAA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71.3pt;height:188.5pt;rotation:315;z-index:-2516193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fldChar w:fldCharType="begin"/>
    </w:r>
    <w:r w:rsidR="005D7DF4">
      <w:instrText xml:space="preserve"> PAGE   \* MERGEFORMAT </w:instrText>
    </w:r>
    <w:r w:rsidR="005D7DF4">
      <w:fldChar w:fldCharType="separate"/>
    </w:r>
    <w:r>
      <w:rPr>
        <w:noProof/>
      </w:rPr>
      <w:t>4</w:t>
    </w:r>
    <w:r w:rsidR="005D7DF4">
      <w:rPr>
        <w:noProof/>
      </w:rPr>
      <w:fldChar w:fldCharType="end"/>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F0CA88" w14:textId="77777777" w:rsidR="005D7DF4" w:rsidRDefault="00302A02" w:rsidP="00346D4A">
    <w:pPr>
      <w:pStyle w:val="Header"/>
      <w:jc w:val="left"/>
    </w:pPr>
    <w:r>
      <w:rPr>
        <w:noProof/>
      </w:rPr>
      <w:pict w14:anchorId="63E7F7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71.3pt;height:188.5pt;rotation:315;z-index:-2516172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ptab w:relativeTo="margin" w:alignment="right" w:leader="none"/>
    </w:r>
    <w:r w:rsidR="005D7DF4" w:rsidRPr="004738CB">
      <w:t xml:space="preserve">Page </w:t>
    </w:r>
    <w:r w:rsidR="005D7DF4">
      <w:fldChar w:fldCharType="begin"/>
    </w:r>
    <w:r w:rsidR="005D7DF4">
      <w:instrText xml:space="preserve"> PAGE   \* MERGEFORMAT </w:instrText>
    </w:r>
    <w:r w:rsidR="005D7DF4">
      <w:fldChar w:fldCharType="separate"/>
    </w:r>
    <w:r>
      <w:rPr>
        <w:noProof/>
      </w:rPr>
      <w:t>10</w:t>
    </w:r>
    <w:r w:rsidR="005D7DF4">
      <w:rPr>
        <w:noProof/>
      </w:rPr>
      <w:fldChar w:fldCharType="end"/>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931DD8" w14:textId="77777777" w:rsidR="005D7DF4" w:rsidRDefault="00302A02" w:rsidP="00346D4A">
    <w:pPr>
      <w:pStyle w:val="Header"/>
      <w:jc w:val="left"/>
    </w:pPr>
    <w:r>
      <w:rPr>
        <w:noProof/>
      </w:rPr>
      <w:pict w14:anchorId="54FE20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71.3pt;height:188.5pt;rotation:315;z-index:-251613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ptab w:relativeTo="margin" w:alignment="right" w:leader="none"/>
    </w:r>
    <w:r w:rsidR="005D7DF4" w:rsidRPr="004738CB">
      <w:t xml:space="preserve">Page </w:t>
    </w:r>
    <w:r w:rsidR="005D7DF4">
      <w:fldChar w:fldCharType="begin"/>
    </w:r>
    <w:r w:rsidR="005D7DF4">
      <w:instrText xml:space="preserve"> PAGE   \* MERGEFORMAT </w:instrText>
    </w:r>
    <w:r w:rsidR="005D7DF4">
      <w:fldChar w:fldCharType="separate"/>
    </w:r>
    <w:r>
      <w:rPr>
        <w:noProof/>
      </w:rPr>
      <w:t>13</w:t>
    </w:r>
    <w:r w:rsidR="005D7DF4">
      <w:rPr>
        <w:noProof/>
      </w:rPr>
      <w:fldChar w:fldCharType="end"/>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81ED38" w14:textId="77777777" w:rsidR="005D7DF4" w:rsidRDefault="00302A02" w:rsidP="00346D4A">
    <w:pPr>
      <w:pStyle w:val="Header"/>
      <w:jc w:val="left"/>
    </w:pPr>
    <w:r>
      <w:rPr>
        <w:noProof/>
      </w:rPr>
      <w:pict w14:anchorId="343428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71.3pt;height:188.5pt;rotation:315;z-index:-251611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ptab w:relativeTo="margin" w:alignment="right" w:leader="none"/>
    </w:r>
    <w:r w:rsidR="005D7DF4" w:rsidRPr="004738CB">
      <w:t xml:space="preserve">Page </w:t>
    </w:r>
    <w:r w:rsidR="005D7DF4">
      <w:fldChar w:fldCharType="begin"/>
    </w:r>
    <w:r w:rsidR="005D7DF4">
      <w:instrText xml:space="preserve"> PAGE   \* MERGEFORMAT </w:instrText>
    </w:r>
    <w:r w:rsidR="005D7DF4">
      <w:fldChar w:fldCharType="separate"/>
    </w:r>
    <w:r>
      <w:rPr>
        <w:noProof/>
      </w:rPr>
      <w:t>15</w:t>
    </w:r>
    <w:r w:rsidR="005D7DF4">
      <w:rPr>
        <w:noProof/>
      </w:rPr>
      <w:fldChar w:fldCharType="end"/>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1B4596" w14:textId="77777777" w:rsidR="005D7DF4" w:rsidRDefault="00302A02" w:rsidP="00346D4A">
    <w:pPr>
      <w:pStyle w:val="Header"/>
      <w:jc w:val="left"/>
    </w:pPr>
    <w:r>
      <w:rPr>
        <w:noProof/>
      </w:rPr>
      <w:pict w14:anchorId="5011F1A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471.3pt;height:188.5pt;rotation:315;z-index:-251609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ptab w:relativeTo="margin" w:alignment="right" w:leader="none"/>
    </w:r>
    <w:r w:rsidR="005D7DF4" w:rsidRPr="004738CB">
      <w:t xml:space="preserve">Page </w:t>
    </w:r>
    <w:r w:rsidR="005D7DF4">
      <w:fldChar w:fldCharType="begin"/>
    </w:r>
    <w:r w:rsidR="005D7DF4">
      <w:instrText xml:space="preserve"> PAGE   \* MERGEFORMAT </w:instrText>
    </w:r>
    <w:r w:rsidR="005D7DF4">
      <w:fldChar w:fldCharType="separate"/>
    </w:r>
    <w:r>
      <w:rPr>
        <w:noProof/>
      </w:rPr>
      <w:t>20</w:t>
    </w:r>
    <w:r w:rsidR="005D7DF4">
      <w:rPr>
        <w:noProof/>
      </w:rPr>
      <w:fldChar w:fldCharType="end"/>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9FE4A8" w14:textId="77777777" w:rsidR="005D7DF4" w:rsidRDefault="00302A02" w:rsidP="00346D4A">
    <w:pPr>
      <w:pStyle w:val="Header"/>
      <w:jc w:val="left"/>
    </w:pPr>
    <w:r>
      <w:rPr>
        <w:noProof/>
      </w:rPr>
      <w:pict w14:anchorId="5B711F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471.3pt;height:188.5pt;rotation:315;z-index:-2516070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fldChar w:fldCharType="begin"/>
    </w:r>
    <w:r w:rsidR="005D7DF4">
      <w:instrText xml:space="preserve"> PAGE   \* MERGEFORMAT </w:instrText>
    </w:r>
    <w:r w:rsidR="005D7DF4">
      <w:fldChar w:fldCharType="separate"/>
    </w:r>
    <w:r>
      <w:rPr>
        <w:noProof/>
      </w:rPr>
      <w:t>28</w:t>
    </w:r>
    <w:r w:rsidR="005D7DF4">
      <w:rPr>
        <w:noProof/>
      </w:rPr>
      <w:fldChar w:fldCharType="end"/>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80854B" w14:textId="77777777" w:rsidR="005D7DF4" w:rsidRDefault="00302A02" w:rsidP="00346D4A">
    <w:pPr>
      <w:pStyle w:val="Header"/>
      <w:jc w:val="left"/>
    </w:pPr>
    <w:r>
      <w:rPr>
        <w:noProof/>
      </w:rPr>
      <w:pict w14:anchorId="1DD0D2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71.3pt;height:188.5pt;rotation:315;z-index:-2516049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fldChar w:fldCharType="begin"/>
    </w:r>
    <w:r w:rsidR="005D7DF4">
      <w:instrText xml:space="preserve"> PAGE   \* MERGEFORMAT </w:instrText>
    </w:r>
    <w:r w:rsidR="005D7DF4">
      <w:fldChar w:fldCharType="separate"/>
    </w:r>
    <w:r>
      <w:rPr>
        <w:noProof/>
      </w:rPr>
      <w:t>34</w:t>
    </w:r>
    <w:r w:rsidR="005D7DF4">
      <w:rPr>
        <w:noProof/>
      </w:rPr>
      <w:fldChar w:fldCharType="end"/>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DB569B" w14:textId="77777777" w:rsidR="005D7DF4" w:rsidRDefault="00302A02" w:rsidP="00346D4A">
    <w:pPr>
      <w:pStyle w:val="Header"/>
      <w:jc w:val="left"/>
    </w:pPr>
    <w:r>
      <w:rPr>
        <w:noProof/>
      </w:rPr>
      <w:pict w14:anchorId="6F31E4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471.3pt;height:188.5pt;rotation:315;z-index:-251600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t>A</w:t>
    </w:r>
    <w:r w:rsidR="005D7DF4">
      <w:fldChar w:fldCharType="begin"/>
    </w:r>
    <w:r w:rsidR="005D7DF4">
      <w:instrText xml:space="preserve"> PAGE   \* MERGEFORMAT </w:instrText>
    </w:r>
    <w:r w:rsidR="005D7DF4">
      <w:fldChar w:fldCharType="separate"/>
    </w:r>
    <w:r>
      <w:rPr>
        <w:noProof/>
      </w:rPr>
      <w:t>1</w:t>
    </w:r>
    <w:r w:rsidR="005D7DF4">
      <w:rPr>
        <w:noProof/>
      </w:rPr>
      <w:fldChar w:fldCharType="end"/>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336978" w14:textId="77777777" w:rsidR="005D7DF4" w:rsidRDefault="00302A02" w:rsidP="00346D4A">
    <w:pPr>
      <w:pStyle w:val="Header"/>
      <w:jc w:val="left"/>
    </w:pPr>
    <w:r>
      <w:rPr>
        <w:noProof/>
      </w:rPr>
      <w:pict w14:anchorId="680F00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71.3pt;height:188.5pt;rotation:315;z-index:-2516029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t>B</w:t>
    </w:r>
    <w:r w:rsidR="005D7DF4">
      <w:fldChar w:fldCharType="begin"/>
    </w:r>
    <w:r w:rsidR="005D7DF4">
      <w:instrText xml:space="preserve"> PAGE   \* MERGEFORMAT </w:instrText>
    </w:r>
    <w:r w:rsidR="005D7DF4">
      <w:fldChar w:fldCharType="separate"/>
    </w:r>
    <w:r>
      <w:rPr>
        <w:noProof/>
      </w:rPr>
      <w:t>3</w:t>
    </w:r>
    <w:r w:rsidR="005D7DF4">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AD3CB" w14:textId="77777777" w:rsidR="005D7DF4" w:rsidRDefault="00302A02">
    <w:pPr>
      <w:pStyle w:val="Header"/>
    </w:pPr>
    <w:r>
      <w:rPr>
        <w:noProof/>
      </w:rPr>
      <w:pict w14:anchorId="3A1004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3"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2B7461" w14:textId="77777777" w:rsidR="005D7DF4" w:rsidRDefault="00302A02" w:rsidP="004341CC">
    <w:pPr>
      <w:pStyle w:val="Header"/>
      <w:jc w:val="center"/>
    </w:pPr>
    <w:r>
      <w:rPr>
        <w:noProof/>
      </w:rPr>
      <w:pict w14:anchorId="1386F27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1"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rPr>
        <w:noProof/>
        <w:lang w:bidi="ar-SA"/>
      </w:rPr>
      <w:drawing>
        <wp:inline distT="0" distB="0" distL="0" distR="0" wp14:anchorId="3B1168EC" wp14:editId="25F2F276">
          <wp:extent cx="3347720" cy="1076529"/>
          <wp:effectExtent l="19050" t="0" r="5080" b="0"/>
          <wp:docPr id="1" name="Picture 1" descr="NMRlogofin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RlogofinTeal"/>
                  <pic:cNvPicPr>
                    <a:picLocks noChangeAspect="1" noChangeArrowheads="1"/>
                  </pic:cNvPicPr>
                </pic:nvPicPr>
                <pic:blipFill>
                  <a:blip r:embed="rId1"/>
                  <a:stretch>
                    <a:fillRect/>
                  </a:stretch>
                </pic:blipFill>
                <pic:spPr bwMode="auto">
                  <a:xfrm>
                    <a:off x="0" y="0"/>
                    <a:ext cx="3347720" cy="1076529"/>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19E2ED" w14:textId="77777777" w:rsidR="005D7DF4" w:rsidRDefault="00302A02">
    <w:pPr>
      <w:pStyle w:val="Header"/>
    </w:pPr>
    <w:r>
      <w:rPr>
        <w:noProof/>
      </w:rPr>
      <w:pict w14:anchorId="744C72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5" o:spid="_x0000_s2053"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A5ADF3" w14:textId="77777777" w:rsidR="005D7DF4" w:rsidRDefault="005D7DF4">
    <w:pPr>
      <w:pStyle w:val="Header"/>
    </w:pPr>
    <w:r>
      <w:t>R84 Consumer Electronics Potential Study – Literature Review</w:t>
    </w:r>
    <w:r w:rsidR="00302A02">
      <w:rPr>
        <w:noProof/>
      </w:rPr>
      <w:pict w14:anchorId="33D95B6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6" o:spid="_x0000_s2054" type="#_x0000_t136" style="position:absolute;left:0;text-align:left;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EF83A8" w14:textId="77777777" w:rsidR="005D7DF4" w:rsidRDefault="00302A02" w:rsidP="00E71ED9">
    <w:pPr>
      <w:pStyle w:val="Header"/>
      <w:jc w:val="left"/>
    </w:pPr>
    <w:r>
      <w:rPr>
        <w:noProof/>
      </w:rPr>
      <w:pict w14:anchorId="34953E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64" o:spid="_x0000_s2052"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49137B" w14:textId="77777777" w:rsidR="005D7DF4" w:rsidRDefault="00302A02">
    <w:pPr>
      <w:pStyle w:val="Header"/>
    </w:pPr>
    <w:r>
      <w:rPr>
        <w:noProof/>
      </w:rPr>
      <w:pict w14:anchorId="5C7DA0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77" o:spid="_x0000_s2065" type="#_x0000_t136" style="position:absolute;left:0;text-align:left;margin-left:0;margin-top:0;width:471.3pt;height:188.5pt;rotation:315;z-index:-2516234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8D1FB" w14:textId="77777777" w:rsidR="005D7DF4" w:rsidRDefault="00302A02" w:rsidP="00346D4A">
    <w:pPr>
      <w:pStyle w:val="Header"/>
      <w:jc w:val="left"/>
    </w:pPr>
    <w:r>
      <w:rPr>
        <w:noProof/>
      </w:rPr>
      <w:pict w14:anchorId="5A919B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78" o:spid="_x0000_s2066" type="#_x0000_t136" style="position:absolute;margin-left:0;margin-top:0;width:471.3pt;height:188.5pt;rotation:315;z-index:-2516213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D7DF4">
      <w:t>R84 Consumer Electronics Potential Study – Literature Review</w:t>
    </w:r>
    <w:r w:rsidR="005D7DF4">
      <w:tab/>
    </w:r>
    <w:r w:rsidR="005D7DF4" w:rsidRPr="004738CB">
      <w:t xml:space="preserve">Page </w:t>
    </w:r>
    <w:r w:rsidR="005D7DF4">
      <w:fldChar w:fldCharType="begin"/>
    </w:r>
    <w:r w:rsidR="005D7DF4">
      <w:instrText xml:space="preserve"> PAGE   \* MERGEFORMAT </w:instrText>
    </w:r>
    <w:r w:rsidR="005D7DF4">
      <w:fldChar w:fldCharType="separate"/>
    </w:r>
    <w:r>
      <w:rPr>
        <w:noProof/>
      </w:rPr>
      <w:t>I</w:t>
    </w:r>
    <w:r w:rsidR="005D7DF4">
      <w:rPr>
        <w:noProof/>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5251AB" w14:textId="77777777" w:rsidR="005D7DF4" w:rsidRDefault="00302A02">
    <w:pPr>
      <w:pStyle w:val="Header"/>
    </w:pPr>
    <w:r>
      <w:rPr>
        <w:noProof/>
      </w:rPr>
      <w:pict w14:anchorId="1EFDB2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276" o:spid="_x0000_s2064" type="#_x0000_t136" style="position:absolute;left:0;text-align:left;margin-left:0;margin-top:0;width:471.3pt;height:188.5pt;rotation:315;z-index:-251625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803A5"/>
    <w:multiLevelType w:val="hybridMultilevel"/>
    <w:tmpl w:val="0664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337A2"/>
    <w:multiLevelType w:val="hybridMultilevel"/>
    <w:tmpl w:val="FFE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914AFD"/>
    <w:multiLevelType w:val="hybridMultilevel"/>
    <w:tmpl w:val="FD10106A"/>
    <w:lvl w:ilvl="0" w:tplc="4BDE1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D6911"/>
    <w:multiLevelType w:val="hybridMultilevel"/>
    <w:tmpl w:val="E09C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51F5E"/>
    <w:multiLevelType w:val="hybridMultilevel"/>
    <w:tmpl w:val="397A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C2E38"/>
    <w:multiLevelType w:val="multilevel"/>
    <w:tmpl w:val="8A708E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0113B5"/>
    <w:multiLevelType w:val="multilevel"/>
    <w:tmpl w:val="62246636"/>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15077C"/>
    <w:multiLevelType w:val="multilevel"/>
    <w:tmpl w:val="04090025"/>
    <w:numStyleLink w:val="Style1"/>
  </w:abstractNum>
  <w:abstractNum w:abstractNumId="15">
    <w:nsid w:val="29780DB1"/>
    <w:multiLevelType w:val="hybridMultilevel"/>
    <w:tmpl w:val="6CCA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E75EA"/>
    <w:multiLevelType w:val="hybridMultilevel"/>
    <w:tmpl w:val="1EE8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F447186"/>
    <w:multiLevelType w:val="multilevel"/>
    <w:tmpl w:val="B276E046"/>
    <w:lvl w:ilvl="0">
      <w:start w:val="1"/>
      <w:numFmt w:val="decimal"/>
      <w:pStyle w:val="Heading1"/>
      <w:lvlText w:val="%1"/>
      <w:lvlJc w:val="left"/>
      <w:pPr>
        <w:ind w:left="432" w:hanging="432"/>
      </w:pPr>
      <w:rPr>
        <w:rFonts w:ascii="Arial" w:hAnsi="Arial" w:cs="Arial" w:hint="default"/>
        <w:b/>
        <w:i w:val="0"/>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C320DE"/>
    <w:multiLevelType w:val="multilevel"/>
    <w:tmpl w:val="04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B850D1D"/>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A454CA"/>
    <w:multiLevelType w:val="hybridMultilevel"/>
    <w:tmpl w:val="39A4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32E75"/>
    <w:multiLevelType w:val="hybridMultilevel"/>
    <w:tmpl w:val="81A62DC4"/>
    <w:lvl w:ilvl="0" w:tplc="803AB134">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B65AE4"/>
    <w:multiLevelType w:val="hybridMultilevel"/>
    <w:tmpl w:val="6E9A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15129ED"/>
    <w:multiLevelType w:val="hybridMultilevel"/>
    <w:tmpl w:val="501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577C0"/>
    <w:multiLevelType w:val="hybridMultilevel"/>
    <w:tmpl w:val="381A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DF5615"/>
    <w:multiLevelType w:val="multilevel"/>
    <w:tmpl w:val="6914A3EC"/>
    <w:lvl w:ilvl="0">
      <w:start w:val="1"/>
      <w:numFmt w:val="upperLetter"/>
      <w:pStyle w:val="ApHeading1"/>
      <w:lvlText w:val="Appendix %1"/>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pHeading2"/>
      <w:lvlText w:val="%1.%2"/>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pHeading3"/>
      <w:lvlText w:val="%1.%2.%3"/>
      <w:lvlJc w:val="left"/>
      <w:pPr>
        <w:ind w:left="360" w:hanging="360"/>
      </w:pPr>
      <w:rPr>
        <w:rFonts w:ascii="Arial" w:hAnsi="Arial" w:hint="default"/>
        <w:b/>
        <w:i w:val="0"/>
        <w:sz w:val="24"/>
      </w:rPr>
    </w:lvl>
    <w:lvl w:ilvl="3">
      <w:start w:val="1"/>
      <w:numFmt w:val="decimal"/>
      <w:pStyle w:val="ApHeading4"/>
      <w:lvlText w:val="%1.%2.%3.%4"/>
      <w:lvlJc w:val="left"/>
      <w:pPr>
        <w:ind w:left="1080" w:hanging="274"/>
      </w:pPr>
      <w:rPr>
        <w:rFonts w:ascii="Cambria" w:hAnsi="Cambria"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C73C5F"/>
    <w:multiLevelType w:val="hybridMultilevel"/>
    <w:tmpl w:val="C70EE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A6CF7"/>
    <w:multiLevelType w:val="hybridMultilevel"/>
    <w:tmpl w:val="2738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B76294B"/>
    <w:multiLevelType w:val="hybridMultilevel"/>
    <w:tmpl w:val="8440328E"/>
    <w:lvl w:ilvl="0" w:tplc="0E52B642">
      <w:start w:val="1"/>
      <w:numFmt w:val="decimal"/>
      <w:lvlText w:val="%1)"/>
      <w:lvlJc w:val="left"/>
      <w:pPr>
        <w:ind w:left="1716" w:hanging="9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1"/>
  </w:num>
  <w:num w:numId="3">
    <w:abstractNumId w:val="25"/>
  </w:num>
  <w:num w:numId="4">
    <w:abstractNumId w:val="8"/>
  </w:num>
  <w:num w:numId="5">
    <w:abstractNumId w:val="18"/>
  </w:num>
  <w:num w:numId="6">
    <w:abstractNumId w:val="0"/>
  </w:num>
  <w:num w:numId="7">
    <w:abstractNumId w:val="19"/>
  </w:num>
  <w:num w:numId="8">
    <w:abstractNumId w:val="4"/>
  </w:num>
  <w:num w:numId="9">
    <w:abstractNumId w:val="17"/>
  </w:num>
  <w:num w:numId="10">
    <w:abstractNumId w:val="24"/>
  </w:num>
  <w:num w:numId="11">
    <w:abstractNumId w:val="33"/>
  </w:num>
  <w:num w:numId="12">
    <w:abstractNumId w:val="20"/>
  </w:num>
  <w:num w:numId="13">
    <w:abstractNumId w:val="14"/>
  </w:num>
  <w:num w:numId="14">
    <w:abstractNumId w:val="29"/>
  </w:num>
  <w:num w:numId="15">
    <w:abstractNumId w:val="22"/>
  </w:num>
  <w:num w:numId="16">
    <w:abstractNumId w:val="23"/>
  </w:num>
  <w:num w:numId="17">
    <w:abstractNumId w:val="3"/>
  </w:num>
  <w:num w:numId="18">
    <w:abstractNumId w:val="1"/>
  </w:num>
  <w:num w:numId="19">
    <w:abstractNumId w:val="36"/>
  </w:num>
  <w:num w:numId="20">
    <w:abstractNumId w:val="12"/>
  </w:num>
  <w:num w:numId="21">
    <w:abstractNumId w:val="13"/>
  </w:num>
  <w:num w:numId="22">
    <w:abstractNumId w:val="2"/>
  </w:num>
  <w:num w:numId="23">
    <w:abstractNumId w:val="32"/>
  </w:num>
  <w:num w:numId="24">
    <w:abstractNumId w:val="37"/>
  </w:num>
  <w:num w:numId="25">
    <w:abstractNumId w:val="27"/>
  </w:num>
  <w:num w:numId="26">
    <w:abstractNumId w:val="7"/>
  </w:num>
  <w:num w:numId="27">
    <w:abstractNumId w:val="31"/>
  </w:num>
  <w:num w:numId="28">
    <w:abstractNumId w:val="32"/>
  </w:num>
  <w:num w:numId="29">
    <w:abstractNumId w:val="34"/>
  </w:num>
  <w:num w:numId="30">
    <w:abstractNumId w:val="28"/>
  </w:num>
  <w:num w:numId="31">
    <w:abstractNumId w:val="30"/>
  </w:num>
  <w:num w:numId="32">
    <w:abstractNumId w:val="10"/>
  </w:num>
  <w:num w:numId="33">
    <w:abstractNumId w:val="26"/>
  </w:num>
  <w:num w:numId="34">
    <w:abstractNumId w:val="18"/>
  </w:num>
  <w:num w:numId="35">
    <w:abstractNumId w:val="15"/>
  </w:num>
  <w:num w:numId="36">
    <w:abstractNumId w:val="35"/>
  </w:num>
  <w:num w:numId="37">
    <w:abstractNumId w:val="11"/>
  </w:num>
  <w:num w:numId="38">
    <w:abstractNumId w:val="6"/>
  </w:num>
  <w:num w:numId="39">
    <w:abstractNumId w:val="16"/>
  </w:num>
  <w:num w:numId="4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h Lieb">
    <w15:presenceInfo w15:providerId="Windows Live" w15:userId="58f6303ec66999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linkStyles/>
  <w:doNotTrackFormatting/>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6D"/>
    <w:rsid w:val="00000BE3"/>
    <w:rsid w:val="0000249B"/>
    <w:rsid w:val="0000312D"/>
    <w:rsid w:val="000041B9"/>
    <w:rsid w:val="000119D1"/>
    <w:rsid w:val="0001568B"/>
    <w:rsid w:val="00017695"/>
    <w:rsid w:val="000207FB"/>
    <w:rsid w:val="0002366E"/>
    <w:rsid w:val="00023F75"/>
    <w:rsid w:val="00024E10"/>
    <w:rsid w:val="00025911"/>
    <w:rsid w:val="00031F99"/>
    <w:rsid w:val="00033106"/>
    <w:rsid w:val="000331B7"/>
    <w:rsid w:val="00034F61"/>
    <w:rsid w:val="00042890"/>
    <w:rsid w:val="00042D47"/>
    <w:rsid w:val="00043A38"/>
    <w:rsid w:val="0004580B"/>
    <w:rsid w:val="00052C43"/>
    <w:rsid w:val="00052CAB"/>
    <w:rsid w:val="00052F5F"/>
    <w:rsid w:val="000532F8"/>
    <w:rsid w:val="00053527"/>
    <w:rsid w:val="00054637"/>
    <w:rsid w:val="00061206"/>
    <w:rsid w:val="0006151F"/>
    <w:rsid w:val="00063412"/>
    <w:rsid w:val="000641BD"/>
    <w:rsid w:val="0006540B"/>
    <w:rsid w:val="000669C4"/>
    <w:rsid w:val="00067AA2"/>
    <w:rsid w:val="000702A4"/>
    <w:rsid w:val="00070C42"/>
    <w:rsid w:val="00070F33"/>
    <w:rsid w:val="00072A21"/>
    <w:rsid w:val="000744BE"/>
    <w:rsid w:val="00081726"/>
    <w:rsid w:val="00083682"/>
    <w:rsid w:val="00087D47"/>
    <w:rsid w:val="000905B4"/>
    <w:rsid w:val="0009297B"/>
    <w:rsid w:val="00094908"/>
    <w:rsid w:val="000A182E"/>
    <w:rsid w:val="000A566A"/>
    <w:rsid w:val="000A67A7"/>
    <w:rsid w:val="000B22B9"/>
    <w:rsid w:val="000B55D3"/>
    <w:rsid w:val="000C0538"/>
    <w:rsid w:val="000C2DEA"/>
    <w:rsid w:val="000C3158"/>
    <w:rsid w:val="000C499D"/>
    <w:rsid w:val="000C64CD"/>
    <w:rsid w:val="000C7619"/>
    <w:rsid w:val="000D0AE4"/>
    <w:rsid w:val="000D1D90"/>
    <w:rsid w:val="000D2ACE"/>
    <w:rsid w:val="000D35E1"/>
    <w:rsid w:val="000D6092"/>
    <w:rsid w:val="000D78EF"/>
    <w:rsid w:val="000E08ED"/>
    <w:rsid w:val="000E0C14"/>
    <w:rsid w:val="000E5CDD"/>
    <w:rsid w:val="000E613C"/>
    <w:rsid w:val="000F06A6"/>
    <w:rsid w:val="000F2147"/>
    <w:rsid w:val="000F65DB"/>
    <w:rsid w:val="000F7BAA"/>
    <w:rsid w:val="000F7D3E"/>
    <w:rsid w:val="00100988"/>
    <w:rsid w:val="00101789"/>
    <w:rsid w:val="00101FA8"/>
    <w:rsid w:val="001021A7"/>
    <w:rsid w:val="001023EA"/>
    <w:rsid w:val="00103A01"/>
    <w:rsid w:val="00105A21"/>
    <w:rsid w:val="00112BE6"/>
    <w:rsid w:val="0011422B"/>
    <w:rsid w:val="00115080"/>
    <w:rsid w:val="001156D1"/>
    <w:rsid w:val="001171A1"/>
    <w:rsid w:val="0012087D"/>
    <w:rsid w:val="001222AA"/>
    <w:rsid w:val="00124DE7"/>
    <w:rsid w:val="0012674A"/>
    <w:rsid w:val="001278BF"/>
    <w:rsid w:val="00130FEC"/>
    <w:rsid w:val="00134B09"/>
    <w:rsid w:val="00137C85"/>
    <w:rsid w:val="00137E70"/>
    <w:rsid w:val="00145622"/>
    <w:rsid w:val="0014612B"/>
    <w:rsid w:val="001468AD"/>
    <w:rsid w:val="0014772B"/>
    <w:rsid w:val="00147A26"/>
    <w:rsid w:val="0015267A"/>
    <w:rsid w:val="001645C8"/>
    <w:rsid w:val="00165EE6"/>
    <w:rsid w:val="00172CF3"/>
    <w:rsid w:val="0017308C"/>
    <w:rsid w:val="0017597C"/>
    <w:rsid w:val="00180712"/>
    <w:rsid w:val="001818D0"/>
    <w:rsid w:val="00181A97"/>
    <w:rsid w:val="00183B3E"/>
    <w:rsid w:val="0018534C"/>
    <w:rsid w:val="0018576D"/>
    <w:rsid w:val="00190F17"/>
    <w:rsid w:val="001929C9"/>
    <w:rsid w:val="0019314E"/>
    <w:rsid w:val="00194B62"/>
    <w:rsid w:val="001950F5"/>
    <w:rsid w:val="00195F39"/>
    <w:rsid w:val="00196A80"/>
    <w:rsid w:val="00196E63"/>
    <w:rsid w:val="001A2782"/>
    <w:rsid w:val="001A65BE"/>
    <w:rsid w:val="001A75FB"/>
    <w:rsid w:val="001B05A5"/>
    <w:rsid w:val="001B3F1C"/>
    <w:rsid w:val="001B6253"/>
    <w:rsid w:val="001C0C48"/>
    <w:rsid w:val="001C27E3"/>
    <w:rsid w:val="001C39FA"/>
    <w:rsid w:val="001C74BA"/>
    <w:rsid w:val="001D1040"/>
    <w:rsid w:val="001D2925"/>
    <w:rsid w:val="001D389C"/>
    <w:rsid w:val="001D43A8"/>
    <w:rsid w:val="001E1AE8"/>
    <w:rsid w:val="001E2488"/>
    <w:rsid w:val="001E30FE"/>
    <w:rsid w:val="001E41CE"/>
    <w:rsid w:val="001E7D34"/>
    <w:rsid w:val="001F0539"/>
    <w:rsid w:val="001F227F"/>
    <w:rsid w:val="001F505B"/>
    <w:rsid w:val="001F6E7F"/>
    <w:rsid w:val="00202DFF"/>
    <w:rsid w:val="00203279"/>
    <w:rsid w:val="002038C1"/>
    <w:rsid w:val="00207482"/>
    <w:rsid w:val="002142F2"/>
    <w:rsid w:val="002161D3"/>
    <w:rsid w:val="002163E3"/>
    <w:rsid w:val="0022170A"/>
    <w:rsid w:val="002241E7"/>
    <w:rsid w:val="00226F57"/>
    <w:rsid w:val="002321C7"/>
    <w:rsid w:val="002348E7"/>
    <w:rsid w:val="00234B9D"/>
    <w:rsid w:val="00234C15"/>
    <w:rsid w:val="002360CC"/>
    <w:rsid w:val="00236389"/>
    <w:rsid w:val="00236C65"/>
    <w:rsid w:val="00237CC2"/>
    <w:rsid w:val="00241E32"/>
    <w:rsid w:val="00242003"/>
    <w:rsid w:val="002420E4"/>
    <w:rsid w:val="0024233D"/>
    <w:rsid w:val="00242438"/>
    <w:rsid w:val="0024245A"/>
    <w:rsid w:val="00246274"/>
    <w:rsid w:val="0024696B"/>
    <w:rsid w:val="002476BE"/>
    <w:rsid w:val="00251611"/>
    <w:rsid w:val="00253E88"/>
    <w:rsid w:val="00255E10"/>
    <w:rsid w:val="00257E05"/>
    <w:rsid w:val="0026424A"/>
    <w:rsid w:val="002647F5"/>
    <w:rsid w:val="00271342"/>
    <w:rsid w:val="00277282"/>
    <w:rsid w:val="002776F7"/>
    <w:rsid w:val="00283DFC"/>
    <w:rsid w:val="00283F2F"/>
    <w:rsid w:val="00286257"/>
    <w:rsid w:val="00291759"/>
    <w:rsid w:val="00291B10"/>
    <w:rsid w:val="002928F4"/>
    <w:rsid w:val="00296673"/>
    <w:rsid w:val="00296BBB"/>
    <w:rsid w:val="002A7CD1"/>
    <w:rsid w:val="002B0092"/>
    <w:rsid w:val="002B11C8"/>
    <w:rsid w:val="002B1F29"/>
    <w:rsid w:val="002B263D"/>
    <w:rsid w:val="002B6F40"/>
    <w:rsid w:val="002B77F5"/>
    <w:rsid w:val="002B7BD5"/>
    <w:rsid w:val="002B7C8D"/>
    <w:rsid w:val="002B7F38"/>
    <w:rsid w:val="002C1FE7"/>
    <w:rsid w:val="002C3DAA"/>
    <w:rsid w:val="002C6485"/>
    <w:rsid w:val="002C7C62"/>
    <w:rsid w:val="002D5091"/>
    <w:rsid w:val="002E076D"/>
    <w:rsid w:val="002E1CFC"/>
    <w:rsid w:val="002E5C50"/>
    <w:rsid w:val="002E7CE1"/>
    <w:rsid w:val="002F29BB"/>
    <w:rsid w:val="002F4977"/>
    <w:rsid w:val="002F5A97"/>
    <w:rsid w:val="002F5C2D"/>
    <w:rsid w:val="002F7C64"/>
    <w:rsid w:val="00300161"/>
    <w:rsid w:val="0030067B"/>
    <w:rsid w:val="00302422"/>
    <w:rsid w:val="00302A02"/>
    <w:rsid w:val="00303448"/>
    <w:rsid w:val="00306186"/>
    <w:rsid w:val="00306CDD"/>
    <w:rsid w:val="00310671"/>
    <w:rsid w:val="00310748"/>
    <w:rsid w:val="003118C2"/>
    <w:rsid w:val="003135CB"/>
    <w:rsid w:val="00316455"/>
    <w:rsid w:val="00317857"/>
    <w:rsid w:val="00321626"/>
    <w:rsid w:val="0032182A"/>
    <w:rsid w:val="003258B8"/>
    <w:rsid w:val="00332841"/>
    <w:rsid w:val="00341CBE"/>
    <w:rsid w:val="00346A6C"/>
    <w:rsid w:val="00346D4A"/>
    <w:rsid w:val="00352BDF"/>
    <w:rsid w:val="003553F0"/>
    <w:rsid w:val="00360181"/>
    <w:rsid w:val="003662B2"/>
    <w:rsid w:val="0036766C"/>
    <w:rsid w:val="00377792"/>
    <w:rsid w:val="003820DA"/>
    <w:rsid w:val="00390141"/>
    <w:rsid w:val="00394E30"/>
    <w:rsid w:val="00394E6F"/>
    <w:rsid w:val="003A59B3"/>
    <w:rsid w:val="003A7A8B"/>
    <w:rsid w:val="003A7C7C"/>
    <w:rsid w:val="003B2330"/>
    <w:rsid w:val="003B46A5"/>
    <w:rsid w:val="003B5EB7"/>
    <w:rsid w:val="003B6493"/>
    <w:rsid w:val="003B7741"/>
    <w:rsid w:val="003C1C96"/>
    <w:rsid w:val="003C1EF7"/>
    <w:rsid w:val="003C4B08"/>
    <w:rsid w:val="003C4D9C"/>
    <w:rsid w:val="003D13CA"/>
    <w:rsid w:val="003D3751"/>
    <w:rsid w:val="003D3891"/>
    <w:rsid w:val="003D460E"/>
    <w:rsid w:val="003D54EF"/>
    <w:rsid w:val="003D631B"/>
    <w:rsid w:val="003E0018"/>
    <w:rsid w:val="003E1542"/>
    <w:rsid w:val="003E1C12"/>
    <w:rsid w:val="003E1FAE"/>
    <w:rsid w:val="003E2174"/>
    <w:rsid w:val="003E2748"/>
    <w:rsid w:val="003E2959"/>
    <w:rsid w:val="003E38B1"/>
    <w:rsid w:val="003F38E0"/>
    <w:rsid w:val="00400F97"/>
    <w:rsid w:val="0040680E"/>
    <w:rsid w:val="00413A4A"/>
    <w:rsid w:val="004164F2"/>
    <w:rsid w:val="00420016"/>
    <w:rsid w:val="0042124C"/>
    <w:rsid w:val="00421443"/>
    <w:rsid w:val="00421F3B"/>
    <w:rsid w:val="004260B9"/>
    <w:rsid w:val="00427FF1"/>
    <w:rsid w:val="00430E0C"/>
    <w:rsid w:val="00432AB4"/>
    <w:rsid w:val="004330B7"/>
    <w:rsid w:val="00434079"/>
    <w:rsid w:val="004341CC"/>
    <w:rsid w:val="00435413"/>
    <w:rsid w:val="004377D6"/>
    <w:rsid w:val="004401D5"/>
    <w:rsid w:val="004427B0"/>
    <w:rsid w:val="00443428"/>
    <w:rsid w:val="0044440D"/>
    <w:rsid w:val="00444D66"/>
    <w:rsid w:val="004452C5"/>
    <w:rsid w:val="004469ED"/>
    <w:rsid w:val="00446CF4"/>
    <w:rsid w:val="00450559"/>
    <w:rsid w:val="004515A6"/>
    <w:rsid w:val="0045306E"/>
    <w:rsid w:val="00455DBD"/>
    <w:rsid w:val="004568D0"/>
    <w:rsid w:val="00456C92"/>
    <w:rsid w:val="00461F8E"/>
    <w:rsid w:val="00462B1F"/>
    <w:rsid w:val="00462B98"/>
    <w:rsid w:val="0046498B"/>
    <w:rsid w:val="00464A45"/>
    <w:rsid w:val="00467452"/>
    <w:rsid w:val="00467722"/>
    <w:rsid w:val="00471D12"/>
    <w:rsid w:val="0047348B"/>
    <w:rsid w:val="004738CB"/>
    <w:rsid w:val="00473E9F"/>
    <w:rsid w:val="004869B7"/>
    <w:rsid w:val="0048753E"/>
    <w:rsid w:val="00490A54"/>
    <w:rsid w:val="004930D8"/>
    <w:rsid w:val="00493D5A"/>
    <w:rsid w:val="00494456"/>
    <w:rsid w:val="00497953"/>
    <w:rsid w:val="004A339B"/>
    <w:rsid w:val="004A34A9"/>
    <w:rsid w:val="004A4783"/>
    <w:rsid w:val="004A4EC3"/>
    <w:rsid w:val="004A5203"/>
    <w:rsid w:val="004A7331"/>
    <w:rsid w:val="004A7556"/>
    <w:rsid w:val="004B09D8"/>
    <w:rsid w:val="004B1954"/>
    <w:rsid w:val="004B31AF"/>
    <w:rsid w:val="004B404E"/>
    <w:rsid w:val="004B5832"/>
    <w:rsid w:val="004B6931"/>
    <w:rsid w:val="004C1ECF"/>
    <w:rsid w:val="004C243B"/>
    <w:rsid w:val="004C2A8B"/>
    <w:rsid w:val="004C456D"/>
    <w:rsid w:val="004C67E5"/>
    <w:rsid w:val="004C7AFD"/>
    <w:rsid w:val="004D107A"/>
    <w:rsid w:val="004D4C3C"/>
    <w:rsid w:val="004D79A1"/>
    <w:rsid w:val="004E165B"/>
    <w:rsid w:val="004E207D"/>
    <w:rsid w:val="004E4ED8"/>
    <w:rsid w:val="004F2B4E"/>
    <w:rsid w:val="004F426F"/>
    <w:rsid w:val="004F481A"/>
    <w:rsid w:val="004F5407"/>
    <w:rsid w:val="00502F18"/>
    <w:rsid w:val="005037BF"/>
    <w:rsid w:val="00504698"/>
    <w:rsid w:val="00504BB4"/>
    <w:rsid w:val="00504F86"/>
    <w:rsid w:val="00507107"/>
    <w:rsid w:val="005213B1"/>
    <w:rsid w:val="00521DFD"/>
    <w:rsid w:val="005249B7"/>
    <w:rsid w:val="00527FB0"/>
    <w:rsid w:val="005321C7"/>
    <w:rsid w:val="005346E9"/>
    <w:rsid w:val="005434BE"/>
    <w:rsid w:val="00547CDA"/>
    <w:rsid w:val="00550444"/>
    <w:rsid w:val="0055076B"/>
    <w:rsid w:val="00550CDF"/>
    <w:rsid w:val="005519A6"/>
    <w:rsid w:val="00553A08"/>
    <w:rsid w:val="00554A92"/>
    <w:rsid w:val="00560A31"/>
    <w:rsid w:val="0056272C"/>
    <w:rsid w:val="00562827"/>
    <w:rsid w:val="00563E7A"/>
    <w:rsid w:val="00566F48"/>
    <w:rsid w:val="00567516"/>
    <w:rsid w:val="00567C95"/>
    <w:rsid w:val="005749C5"/>
    <w:rsid w:val="0057707F"/>
    <w:rsid w:val="0058388E"/>
    <w:rsid w:val="005840ED"/>
    <w:rsid w:val="00585F9C"/>
    <w:rsid w:val="00587B6B"/>
    <w:rsid w:val="00592DD0"/>
    <w:rsid w:val="00595788"/>
    <w:rsid w:val="0059604A"/>
    <w:rsid w:val="00597F37"/>
    <w:rsid w:val="005A5A3F"/>
    <w:rsid w:val="005A75CF"/>
    <w:rsid w:val="005A7C39"/>
    <w:rsid w:val="005B02C8"/>
    <w:rsid w:val="005B13A4"/>
    <w:rsid w:val="005B239B"/>
    <w:rsid w:val="005B3A78"/>
    <w:rsid w:val="005B3B25"/>
    <w:rsid w:val="005B4178"/>
    <w:rsid w:val="005C2122"/>
    <w:rsid w:val="005C2C12"/>
    <w:rsid w:val="005C2EEB"/>
    <w:rsid w:val="005C3223"/>
    <w:rsid w:val="005C63F5"/>
    <w:rsid w:val="005D072D"/>
    <w:rsid w:val="005D1A88"/>
    <w:rsid w:val="005D2319"/>
    <w:rsid w:val="005D30DB"/>
    <w:rsid w:val="005D3368"/>
    <w:rsid w:val="005D39A5"/>
    <w:rsid w:val="005D4341"/>
    <w:rsid w:val="005D5586"/>
    <w:rsid w:val="005D7DF4"/>
    <w:rsid w:val="005E213B"/>
    <w:rsid w:val="005E3317"/>
    <w:rsid w:val="005F2125"/>
    <w:rsid w:val="005F4FE7"/>
    <w:rsid w:val="005F6B91"/>
    <w:rsid w:val="005F724F"/>
    <w:rsid w:val="005F7B41"/>
    <w:rsid w:val="0060438F"/>
    <w:rsid w:val="00604797"/>
    <w:rsid w:val="00604A40"/>
    <w:rsid w:val="00610FBE"/>
    <w:rsid w:val="00611DAB"/>
    <w:rsid w:val="006127B3"/>
    <w:rsid w:val="0061389B"/>
    <w:rsid w:val="00613D13"/>
    <w:rsid w:val="00615F75"/>
    <w:rsid w:val="00616894"/>
    <w:rsid w:val="00616B2F"/>
    <w:rsid w:val="00621B4F"/>
    <w:rsid w:val="00623A07"/>
    <w:rsid w:val="00626BB0"/>
    <w:rsid w:val="0062748D"/>
    <w:rsid w:val="00627526"/>
    <w:rsid w:val="00631022"/>
    <w:rsid w:val="0063124D"/>
    <w:rsid w:val="006324AA"/>
    <w:rsid w:val="00633291"/>
    <w:rsid w:val="00633EF1"/>
    <w:rsid w:val="00635DEB"/>
    <w:rsid w:val="00637465"/>
    <w:rsid w:val="00637E98"/>
    <w:rsid w:val="00640246"/>
    <w:rsid w:val="006418F2"/>
    <w:rsid w:val="00641E37"/>
    <w:rsid w:val="00644CD1"/>
    <w:rsid w:val="006552E5"/>
    <w:rsid w:val="006615C5"/>
    <w:rsid w:val="00664554"/>
    <w:rsid w:val="00665E5F"/>
    <w:rsid w:val="006710BE"/>
    <w:rsid w:val="00673B1B"/>
    <w:rsid w:val="0067671E"/>
    <w:rsid w:val="00677FC2"/>
    <w:rsid w:val="00684231"/>
    <w:rsid w:val="006901AE"/>
    <w:rsid w:val="00691645"/>
    <w:rsid w:val="00691907"/>
    <w:rsid w:val="006919BA"/>
    <w:rsid w:val="00693355"/>
    <w:rsid w:val="006A0338"/>
    <w:rsid w:val="006A0501"/>
    <w:rsid w:val="006A3AE4"/>
    <w:rsid w:val="006A67D3"/>
    <w:rsid w:val="006A6CEC"/>
    <w:rsid w:val="006B1657"/>
    <w:rsid w:val="006B5535"/>
    <w:rsid w:val="006B6AA3"/>
    <w:rsid w:val="006B6D44"/>
    <w:rsid w:val="006C5A8A"/>
    <w:rsid w:val="006D2718"/>
    <w:rsid w:val="006D2FDE"/>
    <w:rsid w:val="006D3B97"/>
    <w:rsid w:val="006D41EF"/>
    <w:rsid w:val="006D4A66"/>
    <w:rsid w:val="006D5386"/>
    <w:rsid w:val="006E09E2"/>
    <w:rsid w:val="006E1A51"/>
    <w:rsid w:val="006E517F"/>
    <w:rsid w:val="006E70F7"/>
    <w:rsid w:val="006F0352"/>
    <w:rsid w:val="006F4682"/>
    <w:rsid w:val="006F7F4C"/>
    <w:rsid w:val="007016EA"/>
    <w:rsid w:val="00702005"/>
    <w:rsid w:val="00705A97"/>
    <w:rsid w:val="007070A9"/>
    <w:rsid w:val="0071004F"/>
    <w:rsid w:val="00720B94"/>
    <w:rsid w:val="00721027"/>
    <w:rsid w:val="00721F8C"/>
    <w:rsid w:val="007241E4"/>
    <w:rsid w:val="00724D1E"/>
    <w:rsid w:val="007251D1"/>
    <w:rsid w:val="00733F16"/>
    <w:rsid w:val="007343DB"/>
    <w:rsid w:val="007344E1"/>
    <w:rsid w:val="00735044"/>
    <w:rsid w:val="00736828"/>
    <w:rsid w:val="00737BB1"/>
    <w:rsid w:val="00740DF1"/>
    <w:rsid w:val="00745DD9"/>
    <w:rsid w:val="007514B4"/>
    <w:rsid w:val="0075171A"/>
    <w:rsid w:val="00754453"/>
    <w:rsid w:val="0075649A"/>
    <w:rsid w:val="007622F1"/>
    <w:rsid w:val="00763BE7"/>
    <w:rsid w:val="00765ACD"/>
    <w:rsid w:val="007679F4"/>
    <w:rsid w:val="0077152F"/>
    <w:rsid w:val="0077641D"/>
    <w:rsid w:val="00783AFC"/>
    <w:rsid w:val="00783DDC"/>
    <w:rsid w:val="00790994"/>
    <w:rsid w:val="007A517C"/>
    <w:rsid w:val="007A5AEB"/>
    <w:rsid w:val="007A5FF8"/>
    <w:rsid w:val="007A7BDB"/>
    <w:rsid w:val="007B00AF"/>
    <w:rsid w:val="007B1083"/>
    <w:rsid w:val="007B2166"/>
    <w:rsid w:val="007B5F57"/>
    <w:rsid w:val="007B615F"/>
    <w:rsid w:val="007B6616"/>
    <w:rsid w:val="007B6F1D"/>
    <w:rsid w:val="007B72A0"/>
    <w:rsid w:val="007C080D"/>
    <w:rsid w:val="007C640E"/>
    <w:rsid w:val="007C762A"/>
    <w:rsid w:val="007C7730"/>
    <w:rsid w:val="007D0CCC"/>
    <w:rsid w:val="007D2674"/>
    <w:rsid w:val="007D4D6B"/>
    <w:rsid w:val="007D5CF9"/>
    <w:rsid w:val="007E4E6C"/>
    <w:rsid w:val="007E7FA0"/>
    <w:rsid w:val="007F0E14"/>
    <w:rsid w:val="007F1D49"/>
    <w:rsid w:val="007F3925"/>
    <w:rsid w:val="007F3FD0"/>
    <w:rsid w:val="007F403E"/>
    <w:rsid w:val="007F40F4"/>
    <w:rsid w:val="007F434E"/>
    <w:rsid w:val="007F4AB7"/>
    <w:rsid w:val="0080070C"/>
    <w:rsid w:val="00803E5D"/>
    <w:rsid w:val="00805101"/>
    <w:rsid w:val="008053E8"/>
    <w:rsid w:val="00806B39"/>
    <w:rsid w:val="008108DA"/>
    <w:rsid w:val="00811D2C"/>
    <w:rsid w:val="0081233C"/>
    <w:rsid w:val="00814EF9"/>
    <w:rsid w:val="00816741"/>
    <w:rsid w:val="0081700D"/>
    <w:rsid w:val="00824F73"/>
    <w:rsid w:val="00825395"/>
    <w:rsid w:val="0082713D"/>
    <w:rsid w:val="00827EB2"/>
    <w:rsid w:val="00830107"/>
    <w:rsid w:val="00836252"/>
    <w:rsid w:val="00840AC6"/>
    <w:rsid w:val="008419ED"/>
    <w:rsid w:val="00841FD4"/>
    <w:rsid w:val="008429E0"/>
    <w:rsid w:val="00842C76"/>
    <w:rsid w:val="0084423C"/>
    <w:rsid w:val="008469A8"/>
    <w:rsid w:val="008569F5"/>
    <w:rsid w:val="00860820"/>
    <w:rsid w:val="008632F2"/>
    <w:rsid w:val="008651AD"/>
    <w:rsid w:val="00865B59"/>
    <w:rsid w:val="00870CB6"/>
    <w:rsid w:val="008761FB"/>
    <w:rsid w:val="00876A2C"/>
    <w:rsid w:val="00880C5A"/>
    <w:rsid w:val="00883C5D"/>
    <w:rsid w:val="008868FF"/>
    <w:rsid w:val="008873A5"/>
    <w:rsid w:val="00891BC1"/>
    <w:rsid w:val="008971EB"/>
    <w:rsid w:val="0089759E"/>
    <w:rsid w:val="008A149F"/>
    <w:rsid w:val="008A2547"/>
    <w:rsid w:val="008A3FA6"/>
    <w:rsid w:val="008A57CD"/>
    <w:rsid w:val="008A694D"/>
    <w:rsid w:val="008A6BF4"/>
    <w:rsid w:val="008B0DE0"/>
    <w:rsid w:val="008B0F71"/>
    <w:rsid w:val="008B66DA"/>
    <w:rsid w:val="008C1EFE"/>
    <w:rsid w:val="008C4236"/>
    <w:rsid w:val="008C4FEB"/>
    <w:rsid w:val="008C519E"/>
    <w:rsid w:val="008C68B5"/>
    <w:rsid w:val="008C7ED3"/>
    <w:rsid w:val="008D0B25"/>
    <w:rsid w:val="008D1309"/>
    <w:rsid w:val="008D2D1B"/>
    <w:rsid w:val="008D420D"/>
    <w:rsid w:val="008D43FF"/>
    <w:rsid w:val="008D4BE5"/>
    <w:rsid w:val="008D5A63"/>
    <w:rsid w:val="008D5C34"/>
    <w:rsid w:val="008D7EEB"/>
    <w:rsid w:val="008E0437"/>
    <w:rsid w:val="008E0459"/>
    <w:rsid w:val="008E18D8"/>
    <w:rsid w:val="008E1CB9"/>
    <w:rsid w:val="008E3EA5"/>
    <w:rsid w:val="008E714D"/>
    <w:rsid w:val="008E724E"/>
    <w:rsid w:val="008E7431"/>
    <w:rsid w:val="008E79D1"/>
    <w:rsid w:val="008F2C0E"/>
    <w:rsid w:val="008F4C74"/>
    <w:rsid w:val="00900265"/>
    <w:rsid w:val="0090271D"/>
    <w:rsid w:val="009027BB"/>
    <w:rsid w:val="00905741"/>
    <w:rsid w:val="009064E4"/>
    <w:rsid w:val="0091170E"/>
    <w:rsid w:val="0091182E"/>
    <w:rsid w:val="009156E2"/>
    <w:rsid w:val="009162C7"/>
    <w:rsid w:val="00917EF7"/>
    <w:rsid w:val="00921379"/>
    <w:rsid w:val="0092235A"/>
    <w:rsid w:val="009309EB"/>
    <w:rsid w:val="00930A8F"/>
    <w:rsid w:val="009314E8"/>
    <w:rsid w:val="00931D8E"/>
    <w:rsid w:val="009337B4"/>
    <w:rsid w:val="009337ED"/>
    <w:rsid w:val="00935B61"/>
    <w:rsid w:val="009375FE"/>
    <w:rsid w:val="00942E08"/>
    <w:rsid w:val="009460D1"/>
    <w:rsid w:val="00946BC4"/>
    <w:rsid w:val="00951262"/>
    <w:rsid w:val="00952133"/>
    <w:rsid w:val="00952632"/>
    <w:rsid w:val="0095387D"/>
    <w:rsid w:val="0095500E"/>
    <w:rsid w:val="009601D2"/>
    <w:rsid w:val="00962658"/>
    <w:rsid w:val="00963DD3"/>
    <w:rsid w:val="009647F8"/>
    <w:rsid w:val="00966E55"/>
    <w:rsid w:val="0097286C"/>
    <w:rsid w:val="00972CAD"/>
    <w:rsid w:val="00974756"/>
    <w:rsid w:val="00984CC4"/>
    <w:rsid w:val="009867C0"/>
    <w:rsid w:val="0099128D"/>
    <w:rsid w:val="009A0184"/>
    <w:rsid w:val="009A25EA"/>
    <w:rsid w:val="009A6292"/>
    <w:rsid w:val="009B3708"/>
    <w:rsid w:val="009B4DC7"/>
    <w:rsid w:val="009C2855"/>
    <w:rsid w:val="009C3541"/>
    <w:rsid w:val="009D1C17"/>
    <w:rsid w:val="009D2F18"/>
    <w:rsid w:val="009D3888"/>
    <w:rsid w:val="009D3B67"/>
    <w:rsid w:val="009D3EB0"/>
    <w:rsid w:val="009D3EB1"/>
    <w:rsid w:val="009D4F80"/>
    <w:rsid w:val="009D6B6F"/>
    <w:rsid w:val="009E6E42"/>
    <w:rsid w:val="009F08A9"/>
    <w:rsid w:val="009F15FD"/>
    <w:rsid w:val="009F37C3"/>
    <w:rsid w:val="009F44B3"/>
    <w:rsid w:val="009F6AD2"/>
    <w:rsid w:val="00A0059F"/>
    <w:rsid w:val="00A01160"/>
    <w:rsid w:val="00A021A1"/>
    <w:rsid w:val="00A06D70"/>
    <w:rsid w:val="00A110E0"/>
    <w:rsid w:val="00A11185"/>
    <w:rsid w:val="00A179DC"/>
    <w:rsid w:val="00A203F0"/>
    <w:rsid w:val="00A22F46"/>
    <w:rsid w:val="00A23036"/>
    <w:rsid w:val="00A2423A"/>
    <w:rsid w:val="00A25544"/>
    <w:rsid w:val="00A25870"/>
    <w:rsid w:val="00A26E2A"/>
    <w:rsid w:val="00A30FB2"/>
    <w:rsid w:val="00A33852"/>
    <w:rsid w:val="00A35016"/>
    <w:rsid w:val="00A370A7"/>
    <w:rsid w:val="00A37294"/>
    <w:rsid w:val="00A4019E"/>
    <w:rsid w:val="00A40E7D"/>
    <w:rsid w:val="00A41660"/>
    <w:rsid w:val="00A4230D"/>
    <w:rsid w:val="00A4247C"/>
    <w:rsid w:val="00A46A6B"/>
    <w:rsid w:val="00A47271"/>
    <w:rsid w:val="00A50E41"/>
    <w:rsid w:val="00A50E6D"/>
    <w:rsid w:val="00A51877"/>
    <w:rsid w:val="00A52001"/>
    <w:rsid w:val="00A52F5A"/>
    <w:rsid w:val="00A5363D"/>
    <w:rsid w:val="00A55D2D"/>
    <w:rsid w:val="00A57D02"/>
    <w:rsid w:val="00A609ED"/>
    <w:rsid w:val="00A62419"/>
    <w:rsid w:val="00A63D67"/>
    <w:rsid w:val="00A66AF9"/>
    <w:rsid w:val="00A66EF6"/>
    <w:rsid w:val="00A6728F"/>
    <w:rsid w:val="00A72E6E"/>
    <w:rsid w:val="00A731DA"/>
    <w:rsid w:val="00A759FF"/>
    <w:rsid w:val="00A76A6E"/>
    <w:rsid w:val="00A81C69"/>
    <w:rsid w:val="00A901DD"/>
    <w:rsid w:val="00A90E67"/>
    <w:rsid w:val="00A917D2"/>
    <w:rsid w:val="00A93859"/>
    <w:rsid w:val="00A949BF"/>
    <w:rsid w:val="00AA44C1"/>
    <w:rsid w:val="00AA5923"/>
    <w:rsid w:val="00AA5EC7"/>
    <w:rsid w:val="00AB6820"/>
    <w:rsid w:val="00AB6A8C"/>
    <w:rsid w:val="00AB72DB"/>
    <w:rsid w:val="00AB7566"/>
    <w:rsid w:val="00AC25DA"/>
    <w:rsid w:val="00AC76F6"/>
    <w:rsid w:val="00AD6792"/>
    <w:rsid w:val="00AD6FBD"/>
    <w:rsid w:val="00AD77F0"/>
    <w:rsid w:val="00AE0F34"/>
    <w:rsid w:val="00AE55C6"/>
    <w:rsid w:val="00AE58B9"/>
    <w:rsid w:val="00AE594A"/>
    <w:rsid w:val="00AE605B"/>
    <w:rsid w:val="00AE66D2"/>
    <w:rsid w:val="00AE6B27"/>
    <w:rsid w:val="00AE7789"/>
    <w:rsid w:val="00AF2737"/>
    <w:rsid w:val="00AF2AF8"/>
    <w:rsid w:val="00AF3D5A"/>
    <w:rsid w:val="00AF4C08"/>
    <w:rsid w:val="00AF58BF"/>
    <w:rsid w:val="00AF64C4"/>
    <w:rsid w:val="00AF724D"/>
    <w:rsid w:val="00AF76C4"/>
    <w:rsid w:val="00B00660"/>
    <w:rsid w:val="00B0122A"/>
    <w:rsid w:val="00B05032"/>
    <w:rsid w:val="00B13AF5"/>
    <w:rsid w:val="00B2105F"/>
    <w:rsid w:val="00B218EC"/>
    <w:rsid w:val="00B22541"/>
    <w:rsid w:val="00B26CC6"/>
    <w:rsid w:val="00B35198"/>
    <w:rsid w:val="00B37864"/>
    <w:rsid w:val="00B44C3E"/>
    <w:rsid w:val="00B45DD9"/>
    <w:rsid w:val="00B54DFC"/>
    <w:rsid w:val="00B600E6"/>
    <w:rsid w:val="00B61233"/>
    <w:rsid w:val="00B62008"/>
    <w:rsid w:val="00B62FDD"/>
    <w:rsid w:val="00B72512"/>
    <w:rsid w:val="00B76339"/>
    <w:rsid w:val="00B764EB"/>
    <w:rsid w:val="00B81146"/>
    <w:rsid w:val="00B81973"/>
    <w:rsid w:val="00B838D3"/>
    <w:rsid w:val="00B8460F"/>
    <w:rsid w:val="00B84C88"/>
    <w:rsid w:val="00B929BC"/>
    <w:rsid w:val="00B9461E"/>
    <w:rsid w:val="00BA422C"/>
    <w:rsid w:val="00BA42FC"/>
    <w:rsid w:val="00BA64C7"/>
    <w:rsid w:val="00BA6FAB"/>
    <w:rsid w:val="00BA7313"/>
    <w:rsid w:val="00BA76B8"/>
    <w:rsid w:val="00BB12DC"/>
    <w:rsid w:val="00BB274F"/>
    <w:rsid w:val="00BB2B17"/>
    <w:rsid w:val="00BB2C24"/>
    <w:rsid w:val="00BC47A3"/>
    <w:rsid w:val="00BC5801"/>
    <w:rsid w:val="00BC747F"/>
    <w:rsid w:val="00BD0B0E"/>
    <w:rsid w:val="00BD120D"/>
    <w:rsid w:val="00BD28CF"/>
    <w:rsid w:val="00BD55BC"/>
    <w:rsid w:val="00BE14DF"/>
    <w:rsid w:val="00BE2AE0"/>
    <w:rsid w:val="00BE36DD"/>
    <w:rsid w:val="00BE39C2"/>
    <w:rsid w:val="00BE3F8B"/>
    <w:rsid w:val="00BE6204"/>
    <w:rsid w:val="00BE7121"/>
    <w:rsid w:val="00BF2B1C"/>
    <w:rsid w:val="00BF2F07"/>
    <w:rsid w:val="00BF516C"/>
    <w:rsid w:val="00BF52A5"/>
    <w:rsid w:val="00BF68F3"/>
    <w:rsid w:val="00C02E9B"/>
    <w:rsid w:val="00C03CC4"/>
    <w:rsid w:val="00C0496C"/>
    <w:rsid w:val="00C05291"/>
    <w:rsid w:val="00C05955"/>
    <w:rsid w:val="00C11555"/>
    <w:rsid w:val="00C1239E"/>
    <w:rsid w:val="00C13274"/>
    <w:rsid w:val="00C16110"/>
    <w:rsid w:val="00C17D24"/>
    <w:rsid w:val="00C17FEC"/>
    <w:rsid w:val="00C21239"/>
    <w:rsid w:val="00C24D84"/>
    <w:rsid w:val="00C26130"/>
    <w:rsid w:val="00C275F5"/>
    <w:rsid w:val="00C2763F"/>
    <w:rsid w:val="00C31800"/>
    <w:rsid w:val="00C32D50"/>
    <w:rsid w:val="00C32FC8"/>
    <w:rsid w:val="00C34A26"/>
    <w:rsid w:val="00C351B9"/>
    <w:rsid w:val="00C42927"/>
    <w:rsid w:val="00C4425C"/>
    <w:rsid w:val="00C4502D"/>
    <w:rsid w:val="00C46CE1"/>
    <w:rsid w:val="00C47C79"/>
    <w:rsid w:val="00C51830"/>
    <w:rsid w:val="00C53B35"/>
    <w:rsid w:val="00C53EBA"/>
    <w:rsid w:val="00C564CE"/>
    <w:rsid w:val="00C572D8"/>
    <w:rsid w:val="00C61DF1"/>
    <w:rsid w:val="00C65D79"/>
    <w:rsid w:val="00C71E25"/>
    <w:rsid w:val="00C74DBD"/>
    <w:rsid w:val="00C758B1"/>
    <w:rsid w:val="00C75CF9"/>
    <w:rsid w:val="00C82BA7"/>
    <w:rsid w:val="00C83DA7"/>
    <w:rsid w:val="00C8649E"/>
    <w:rsid w:val="00C949F2"/>
    <w:rsid w:val="00C94DB9"/>
    <w:rsid w:val="00C95E20"/>
    <w:rsid w:val="00C9653E"/>
    <w:rsid w:val="00C96C48"/>
    <w:rsid w:val="00C97AE4"/>
    <w:rsid w:val="00CA243F"/>
    <w:rsid w:val="00CA29CE"/>
    <w:rsid w:val="00CA6B42"/>
    <w:rsid w:val="00CB1124"/>
    <w:rsid w:val="00CB2CF5"/>
    <w:rsid w:val="00CB3DF2"/>
    <w:rsid w:val="00CB52DF"/>
    <w:rsid w:val="00CB5661"/>
    <w:rsid w:val="00CB61D0"/>
    <w:rsid w:val="00CB627B"/>
    <w:rsid w:val="00CB6A68"/>
    <w:rsid w:val="00CB7339"/>
    <w:rsid w:val="00CC63E8"/>
    <w:rsid w:val="00CC64C6"/>
    <w:rsid w:val="00CD0FFB"/>
    <w:rsid w:val="00CD5B3C"/>
    <w:rsid w:val="00CE3753"/>
    <w:rsid w:val="00CE6982"/>
    <w:rsid w:val="00CF029F"/>
    <w:rsid w:val="00CF2EE5"/>
    <w:rsid w:val="00CF6CC3"/>
    <w:rsid w:val="00D05D6C"/>
    <w:rsid w:val="00D06ADC"/>
    <w:rsid w:val="00D1024C"/>
    <w:rsid w:val="00D10995"/>
    <w:rsid w:val="00D11022"/>
    <w:rsid w:val="00D1150B"/>
    <w:rsid w:val="00D13A8F"/>
    <w:rsid w:val="00D23D21"/>
    <w:rsid w:val="00D24BEA"/>
    <w:rsid w:val="00D27CDB"/>
    <w:rsid w:val="00D305D6"/>
    <w:rsid w:val="00D30694"/>
    <w:rsid w:val="00D30F95"/>
    <w:rsid w:val="00D3199B"/>
    <w:rsid w:val="00D31F95"/>
    <w:rsid w:val="00D332D6"/>
    <w:rsid w:val="00D33A4F"/>
    <w:rsid w:val="00D33CDC"/>
    <w:rsid w:val="00D34452"/>
    <w:rsid w:val="00D41CD7"/>
    <w:rsid w:val="00D53C32"/>
    <w:rsid w:val="00D54BC2"/>
    <w:rsid w:val="00D559BC"/>
    <w:rsid w:val="00D620D5"/>
    <w:rsid w:val="00D631DD"/>
    <w:rsid w:val="00D71372"/>
    <w:rsid w:val="00D73B82"/>
    <w:rsid w:val="00D75BA1"/>
    <w:rsid w:val="00D76240"/>
    <w:rsid w:val="00D77C0D"/>
    <w:rsid w:val="00D77F89"/>
    <w:rsid w:val="00D80285"/>
    <w:rsid w:val="00D82044"/>
    <w:rsid w:val="00D820B6"/>
    <w:rsid w:val="00D84AC6"/>
    <w:rsid w:val="00D86685"/>
    <w:rsid w:val="00D94F3F"/>
    <w:rsid w:val="00DA1C34"/>
    <w:rsid w:val="00DA20A9"/>
    <w:rsid w:val="00DA2504"/>
    <w:rsid w:val="00DA337E"/>
    <w:rsid w:val="00DA40B6"/>
    <w:rsid w:val="00DA47DF"/>
    <w:rsid w:val="00DA62B2"/>
    <w:rsid w:val="00DB3201"/>
    <w:rsid w:val="00DB5503"/>
    <w:rsid w:val="00DB717D"/>
    <w:rsid w:val="00DC0C51"/>
    <w:rsid w:val="00DC341F"/>
    <w:rsid w:val="00DC4743"/>
    <w:rsid w:val="00DC54B7"/>
    <w:rsid w:val="00DC65F4"/>
    <w:rsid w:val="00DC7838"/>
    <w:rsid w:val="00DD0AC4"/>
    <w:rsid w:val="00DD1B38"/>
    <w:rsid w:val="00DD54BE"/>
    <w:rsid w:val="00DD5DE6"/>
    <w:rsid w:val="00DD6408"/>
    <w:rsid w:val="00DE27BA"/>
    <w:rsid w:val="00DE5A84"/>
    <w:rsid w:val="00DE607F"/>
    <w:rsid w:val="00DE6191"/>
    <w:rsid w:val="00DE6E5B"/>
    <w:rsid w:val="00DF0CC5"/>
    <w:rsid w:val="00DF15CE"/>
    <w:rsid w:val="00DF1901"/>
    <w:rsid w:val="00DF1D19"/>
    <w:rsid w:val="00DF21D7"/>
    <w:rsid w:val="00DF3A89"/>
    <w:rsid w:val="00E008C7"/>
    <w:rsid w:val="00E0737F"/>
    <w:rsid w:val="00E07FEF"/>
    <w:rsid w:val="00E11352"/>
    <w:rsid w:val="00E1485E"/>
    <w:rsid w:val="00E15039"/>
    <w:rsid w:val="00E178EA"/>
    <w:rsid w:val="00E20506"/>
    <w:rsid w:val="00E20C96"/>
    <w:rsid w:val="00E213FD"/>
    <w:rsid w:val="00E22EE8"/>
    <w:rsid w:val="00E279DD"/>
    <w:rsid w:val="00E30689"/>
    <w:rsid w:val="00E3606E"/>
    <w:rsid w:val="00E40E10"/>
    <w:rsid w:val="00E414DA"/>
    <w:rsid w:val="00E41C19"/>
    <w:rsid w:val="00E439FE"/>
    <w:rsid w:val="00E444C4"/>
    <w:rsid w:val="00E473E6"/>
    <w:rsid w:val="00E50815"/>
    <w:rsid w:val="00E55F41"/>
    <w:rsid w:val="00E57BED"/>
    <w:rsid w:val="00E60853"/>
    <w:rsid w:val="00E63263"/>
    <w:rsid w:val="00E634D5"/>
    <w:rsid w:val="00E6620F"/>
    <w:rsid w:val="00E67351"/>
    <w:rsid w:val="00E70465"/>
    <w:rsid w:val="00E71ED9"/>
    <w:rsid w:val="00E71F36"/>
    <w:rsid w:val="00E753F7"/>
    <w:rsid w:val="00E75431"/>
    <w:rsid w:val="00E84BCF"/>
    <w:rsid w:val="00E84C69"/>
    <w:rsid w:val="00E90EB4"/>
    <w:rsid w:val="00E926A4"/>
    <w:rsid w:val="00E94A25"/>
    <w:rsid w:val="00EA17EC"/>
    <w:rsid w:val="00EA231A"/>
    <w:rsid w:val="00EA5078"/>
    <w:rsid w:val="00EB06A6"/>
    <w:rsid w:val="00EB1DCF"/>
    <w:rsid w:val="00EB254A"/>
    <w:rsid w:val="00EB2A4F"/>
    <w:rsid w:val="00EB4374"/>
    <w:rsid w:val="00EB5B81"/>
    <w:rsid w:val="00EB6A7A"/>
    <w:rsid w:val="00EB6ADB"/>
    <w:rsid w:val="00EC1683"/>
    <w:rsid w:val="00EC3B52"/>
    <w:rsid w:val="00EC5408"/>
    <w:rsid w:val="00ED1CCF"/>
    <w:rsid w:val="00ED44BA"/>
    <w:rsid w:val="00ED6A5C"/>
    <w:rsid w:val="00EE0303"/>
    <w:rsid w:val="00EE389F"/>
    <w:rsid w:val="00EE4C16"/>
    <w:rsid w:val="00EE4C3C"/>
    <w:rsid w:val="00EE4EE6"/>
    <w:rsid w:val="00EE527F"/>
    <w:rsid w:val="00EE60D9"/>
    <w:rsid w:val="00EF450C"/>
    <w:rsid w:val="00F025E8"/>
    <w:rsid w:val="00F0489B"/>
    <w:rsid w:val="00F065AB"/>
    <w:rsid w:val="00F074FD"/>
    <w:rsid w:val="00F10D0E"/>
    <w:rsid w:val="00F12ACA"/>
    <w:rsid w:val="00F15B74"/>
    <w:rsid w:val="00F20B2E"/>
    <w:rsid w:val="00F23ABA"/>
    <w:rsid w:val="00F2586E"/>
    <w:rsid w:val="00F26816"/>
    <w:rsid w:val="00F26868"/>
    <w:rsid w:val="00F32829"/>
    <w:rsid w:val="00F32E5F"/>
    <w:rsid w:val="00F339B2"/>
    <w:rsid w:val="00F40A76"/>
    <w:rsid w:val="00F413DA"/>
    <w:rsid w:val="00F4201C"/>
    <w:rsid w:val="00F42A81"/>
    <w:rsid w:val="00F43304"/>
    <w:rsid w:val="00F439FD"/>
    <w:rsid w:val="00F456F2"/>
    <w:rsid w:val="00F5068F"/>
    <w:rsid w:val="00F50B94"/>
    <w:rsid w:val="00F52271"/>
    <w:rsid w:val="00F537F1"/>
    <w:rsid w:val="00F53865"/>
    <w:rsid w:val="00F5443F"/>
    <w:rsid w:val="00F54A72"/>
    <w:rsid w:val="00F55647"/>
    <w:rsid w:val="00F600E2"/>
    <w:rsid w:val="00F649C8"/>
    <w:rsid w:val="00F64DD4"/>
    <w:rsid w:val="00F67C68"/>
    <w:rsid w:val="00F72B11"/>
    <w:rsid w:val="00F72C9C"/>
    <w:rsid w:val="00F7411D"/>
    <w:rsid w:val="00F81ED3"/>
    <w:rsid w:val="00F81F74"/>
    <w:rsid w:val="00F85AF4"/>
    <w:rsid w:val="00F85C85"/>
    <w:rsid w:val="00F864BB"/>
    <w:rsid w:val="00F8664F"/>
    <w:rsid w:val="00F915A2"/>
    <w:rsid w:val="00F93D53"/>
    <w:rsid w:val="00F944E0"/>
    <w:rsid w:val="00F94F99"/>
    <w:rsid w:val="00F957C4"/>
    <w:rsid w:val="00F95D28"/>
    <w:rsid w:val="00F972F7"/>
    <w:rsid w:val="00FA0270"/>
    <w:rsid w:val="00FA5647"/>
    <w:rsid w:val="00FA636E"/>
    <w:rsid w:val="00FB3D75"/>
    <w:rsid w:val="00FB3DDC"/>
    <w:rsid w:val="00FB5048"/>
    <w:rsid w:val="00FB741F"/>
    <w:rsid w:val="00FC0440"/>
    <w:rsid w:val="00FC08B3"/>
    <w:rsid w:val="00FC0D36"/>
    <w:rsid w:val="00FC28F6"/>
    <w:rsid w:val="00FC5F77"/>
    <w:rsid w:val="00FC79EA"/>
    <w:rsid w:val="00FD0EC9"/>
    <w:rsid w:val="00FD2B58"/>
    <w:rsid w:val="00FD7276"/>
    <w:rsid w:val="00FD761D"/>
    <w:rsid w:val="00FE2C20"/>
    <w:rsid w:val="00FE382D"/>
    <w:rsid w:val="00FE5B4F"/>
    <w:rsid w:val="00FF05A1"/>
    <w:rsid w:val="00FF1D01"/>
    <w:rsid w:val="00FF1EB4"/>
    <w:rsid w:val="00FF3036"/>
    <w:rsid w:val="00FF5CCB"/>
    <w:rsid w:val="00FF6133"/>
    <w:rsid w:val="00FF690D"/>
    <w:rsid w:val="00FF6C3C"/>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ocId w14:val="1E50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BA"/>
    <w:pPr>
      <w:spacing w:after="120"/>
      <w:jc w:val="both"/>
    </w:pPr>
    <w:rPr>
      <w:sz w:val="24"/>
    </w:rPr>
  </w:style>
  <w:style w:type="paragraph" w:styleId="Heading1">
    <w:name w:val="heading 1"/>
    <w:basedOn w:val="Normal"/>
    <w:next w:val="Normal"/>
    <w:link w:val="Heading1Char"/>
    <w:autoRedefine/>
    <w:uiPriority w:val="9"/>
    <w:qFormat/>
    <w:rsid w:val="00C53EBA"/>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53EBA"/>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C53EBA"/>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C53EBA"/>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C53EBA"/>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3EBA"/>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3EBA"/>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3EBA"/>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3EBA"/>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B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C53EBA"/>
    <w:rPr>
      <w:rFonts w:ascii="Arial" w:eastAsiaTheme="majorEastAsia" w:hAnsi="Arial" w:cstheme="majorBidi"/>
      <w:b/>
      <w:bCs/>
      <w:sz w:val="28"/>
      <w:szCs w:val="26"/>
    </w:rPr>
  </w:style>
  <w:style w:type="paragraph" w:styleId="Header">
    <w:name w:val="header"/>
    <w:basedOn w:val="Normal"/>
    <w:link w:val="HeaderChar"/>
    <w:uiPriority w:val="99"/>
    <w:unhideWhenUsed/>
    <w:rsid w:val="00C53EBA"/>
    <w:pPr>
      <w:tabs>
        <w:tab w:val="center" w:pos="4680"/>
        <w:tab w:val="right" w:pos="9360"/>
      </w:tabs>
      <w:spacing w:after="0"/>
    </w:pPr>
    <w:rPr>
      <w:b/>
      <w:sz w:val="20"/>
    </w:rPr>
  </w:style>
  <w:style w:type="character" w:customStyle="1" w:styleId="HeaderChar">
    <w:name w:val="Header Char"/>
    <w:basedOn w:val="DefaultParagraphFont"/>
    <w:link w:val="Header"/>
    <w:uiPriority w:val="99"/>
    <w:rsid w:val="00C53EBA"/>
    <w:rPr>
      <w:b/>
      <w:sz w:val="20"/>
    </w:rPr>
  </w:style>
  <w:style w:type="paragraph" w:styleId="Footer">
    <w:name w:val="footer"/>
    <w:aliases w:val=" Char Char Char Char Char Char,Char Char Char Char Char Char"/>
    <w:basedOn w:val="Normal"/>
    <w:link w:val="FooterChar"/>
    <w:uiPriority w:val="99"/>
    <w:unhideWhenUsed/>
    <w:rsid w:val="00C53EBA"/>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C53EBA"/>
    <w:rPr>
      <w:b/>
      <w:sz w:val="20"/>
    </w:rPr>
  </w:style>
  <w:style w:type="paragraph" w:styleId="ListParagraph">
    <w:name w:val="List Paragraph"/>
    <w:basedOn w:val="Normal"/>
    <w:uiPriority w:val="34"/>
    <w:qFormat/>
    <w:rsid w:val="00C53EBA"/>
    <w:pPr>
      <w:ind w:left="720"/>
      <w:contextualSpacing/>
    </w:pPr>
  </w:style>
  <w:style w:type="character" w:customStyle="1" w:styleId="Heading3Char">
    <w:name w:val="Heading 3 Char"/>
    <w:basedOn w:val="DefaultParagraphFont"/>
    <w:link w:val="Heading3"/>
    <w:uiPriority w:val="9"/>
    <w:rsid w:val="00C53EBA"/>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C53EBA"/>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C53EBA"/>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C53EBA"/>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C53EBA"/>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53EB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EB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3EBA"/>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C53EBA"/>
    <w:rPr>
      <w:rFonts w:ascii="Arial" w:eastAsiaTheme="majorEastAsia" w:hAnsi="Arial" w:cstheme="majorBidi"/>
      <w:b/>
      <w:spacing w:val="5"/>
      <w:sz w:val="48"/>
      <w:szCs w:val="52"/>
    </w:rPr>
  </w:style>
  <w:style w:type="paragraph" w:styleId="Subtitle">
    <w:name w:val="Subtitle"/>
    <w:basedOn w:val="Normal"/>
    <w:next w:val="Normal"/>
    <w:link w:val="SubtitleChar"/>
    <w:uiPriority w:val="11"/>
    <w:qFormat/>
    <w:rsid w:val="00C53EBA"/>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C53EBA"/>
    <w:rPr>
      <w:rFonts w:ascii="Arial" w:eastAsiaTheme="majorEastAsia" w:hAnsi="Arial" w:cstheme="majorBidi"/>
      <w:b/>
      <w:i/>
      <w:iCs/>
      <w:spacing w:val="13"/>
      <w:sz w:val="48"/>
      <w:szCs w:val="24"/>
    </w:rPr>
  </w:style>
  <w:style w:type="character" w:styleId="Strong">
    <w:name w:val="Strong"/>
    <w:uiPriority w:val="22"/>
    <w:qFormat/>
    <w:rsid w:val="00C53EBA"/>
    <w:rPr>
      <w:b/>
      <w:bCs/>
    </w:rPr>
  </w:style>
  <w:style w:type="character" w:styleId="Emphasis">
    <w:name w:val="Emphasis"/>
    <w:uiPriority w:val="20"/>
    <w:qFormat/>
    <w:rsid w:val="00C53EBA"/>
    <w:rPr>
      <w:b/>
      <w:bCs/>
      <w:i/>
      <w:iCs/>
      <w:spacing w:val="10"/>
      <w:bdr w:val="none" w:sz="0" w:space="0" w:color="auto"/>
      <w:shd w:val="clear" w:color="auto" w:fill="auto"/>
    </w:rPr>
  </w:style>
  <w:style w:type="paragraph" w:styleId="NoSpacing">
    <w:name w:val="No Spacing"/>
    <w:basedOn w:val="Normal"/>
    <w:uiPriority w:val="1"/>
    <w:qFormat/>
    <w:rsid w:val="00C53EBA"/>
    <w:pPr>
      <w:spacing w:after="0" w:line="240" w:lineRule="auto"/>
    </w:pPr>
  </w:style>
  <w:style w:type="paragraph" w:styleId="Quote">
    <w:name w:val="Quote"/>
    <w:basedOn w:val="Normal"/>
    <w:next w:val="Normal"/>
    <w:link w:val="QuoteChar"/>
    <w:uiPriority w:val="29"/>
    <w:qFormat/>
    <w:rsid w:val="00C53EBA"/>
    <w:pPr>
      <w:spacing w:before="200" w:after="0"/>
      <w:ind w:left="360" w:right="360"/>
    </w:pPr>
    <w:rPr>
      <w:i/>
      <w:iCs/>
    </w:rPr>
  </w:style>
  <w:style w:type="character" w:customStyle="1" w:styleId="QuoteChar">
    <w:name w:val="Quote Char"/>
    <w:basedOn w:val="DefaultParagraphFont"/>
    <w:link w:val="Quote"/>
    <w:uiPriority w:val="29"/>
    <w:rsid w:val="00C53EBA"/>
    <w:rPr>
      <w:i/>
      <w:iCs/>
      <w:sz w:val="24"/>
    </w:rPr>
  </w:style>
  <w:style w:type="paragraph" w:styleId="IntenseQuote">
    <w:name w:val="Intense Quote"/>
    <w:basedOn w:val="Normal"/>
    <w:next w:val="Normal"/>
    <w:link w:val="IntenseQuoteChar"/>
    <w:uiPriority w:val="30"/>
    <w:qFormat/>
    <w:rsid w:val="00C53EB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C53EBA"/>
    <w:rPr>
      <w:b/>
      <w:bCs/>
      <w:i/>
      <w:iCs/>
      <w:sz w:val="24"/>
    </w:rPr>
  </w:style>
  <w:style w:type="character" w:styleId="SubtleEmphasis">
    <w:name w:val="Subtle Emphasis"/>
    <w:uiPriority w:val="19"/>
    <w:qFormat/>
    <w:rsid w:val="00C53EBA"/>
    <w:rPr>
      <w:i/>
      <w:iCs/>
    </w:rPr>
  </w:style>
  <w:style w:type="character" w:styleId="IntenseEmphasis">
    <w:name w:val="Intense Emphasis"/>
    <w:uiPriority w:val="21"/>
    <w:qFormat/>
    <w:rsid w:val="00C53EBA"/>
    <w:rPr>
      <w:b/>
      <w:bCs/>
    </w:rPr>
  </w:style>
  <w:style w:type="character" w:styleId="SubtleReference">
    <w:name w:val="Subtle Reference"/>
    <w:uiPriority w:val="31"/>
    <w:qFormat/>
    <w:rsid w:val="00C53EBA"/>
    <w:rPr>
      <w:smallCaps/>
    </w:rPr>
  </w:style>
  <w:style w:type="character" w:styleId="IntenseReference">
    <w:name w:val="Intense Reference"/>
    <w:uiPriority w:val="32"/>
    <w:qFormat/>
    <w:rsid w:val="00C53EBA"/>
    <w:rPr>
      <w:smallCaps/>
      <w:spacing w:val="5"/>
      <w:u w:val="single"/>
    </w:rPr>
  </w:style>
  <w:style w:type="character" w:styleId="BookTitle">
    <w:name w:val="Book Title"/>
    <w:uiPriority w:val="33"/>
    <w:qFormat/>
    <w:rsid w:val="00C53EBA"/>
    <w:rPr>
      <w:i/>
      <w:iCs/>
      <w:smallCaps/>
      <w:spacing w:val="5"/>
    </w:rPr>
  </w:style>
  <w:style w:type="paragraph" w:styleId="TOCHeading">
    <w:name w:val="TOC Heading"/>
    <w:basedOn w:val="Heading1"/>
    <w:next w:val="Normal"/>
    <w:uiPriority w:val="39"/>
    <w:semiHidden/>
    <w:unhideWhenUsed/>
    <w:qFormat/>
    <w:rsid w:val="00C53EBA"/>
    <w:pPr>
      <w:outlineLvl w:val="9"/>
    </w:pPr>
  </w:style>
  <w:style w:type="paragraph" w:styleId="BalloonText">
    <w:name w:val="Balloon Text"/>
    <w:basedOn w:val="Normal"/>
    <w:link w:val="BalloonTextChar"/>
    <w:uiPriority w:val="99"/>
    <w:semiHidden/>
    <w:unhideWhenUsed/>
    <w:rsid w:val="00C5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BA"/>
    <w:rPr>
      <w:rFonts w:ascii="Tahoma" w:hAnsi="Tahoma" w:cs="Tahoma"/>
      <w:sz w:val="16"/>
      <w:szCs w:val="16"/>
    </w:rPr>
  </w:style>
  <w:style w:type="table" w:styleId="TableGrid">
    <w:name w:val="Table Grid"/>
    <w:basedOn w:val="TableNormal"/>
    <w:uiPriority w:val="59"/>
    <w:rsid w:val="00C53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3EBA"/>
    <w:rPr>
      <w:color w:val="808080"/>
    </w:rPr>
  </w:style>
  <w:style w:type="paragraph" w:styleId="FootnoteText">
    <w:name w:val="footnote text"/>
    <w:basedOn w:val="Normal"/>
    <w:link w:val="FootnoteTextChar"/>
    <w:uiPriority w:val="99"/>
    <w:semiHidden/>
    <w:unhideWhenUsed/>
    <w:rsid w:val="00C53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EBA"/>
    <w:rPr>
      <w:sz w:val="20"/>
      <w:szCs w:val="20"/>
    </w:rPr>
  </w:style>
  <w:style w:type="character" w:styleId="FootnoteReference">
    <w:name w:val="footnote reference"/>
    <w:basedOn w:val="DefaultParagraphFont"/>
    <w:uiPriority w:val="99"/>
    <w:semiHidden/>
    <w:unhideWhenUsed/>
    <w:rsid w:val="00C53EBA"/>
    <w:rPr>
      <w:vertAlign w:val="superscript"/>
    </w:rPr>
  </w:style>
  <w:style w:type="paragraph" w:styleId="TOC2">
    <w:name w:val="toc 2"/>
    <w:basedOn w:val="Normal"/>
    <w:next w:val="Normal"/>
    <w:autoRedefine/>
    <w:uiPriority w:val="39"/>
    <w:unhideWhenUsed/>
    <w:qFormat/>
    <w:rsid w:val="00C53EBA"/>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C53EBA"/>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C53EBA"/>
    <w:rPr>
      <w:color w:val="0000FF" w:themeColor="hyperlink"/>
      <w:u w:val="single"/>
    </w:rPr>
  </w:style>
  <w:style w:type="paragraph" w:styleId="TOC3">
    <w:name w:val="toc 3"/>
    <w:basedOn w:val="Normal"/>
    <w:next w:val="Normal"/>
    <w:autoRedefine/>
    <w:uiPriority w:val="39"/>
    <w:unhideWhenUsed/>
    <w:rsid w:val="00C53EBA"/>
    <w:pPr>
      <w:tabs>
        <w:tab w:val="right" w:leader="dot" w:pos="9350"/>
      </w:tabs>
      <w:spacing w:after="100"/>
      <w:ind w:left="1166" w:right="720" w:hanging="720"/>
    </w:pPr>
  </w:style>
  <w:style w:type="paragraph" w:styleId="Caption">
    <w:name w:val="caption"/>
    <w:basedOn w:val="Normal"/>
    <w:next w:val="Normal"/>
    <w:uiPriority w:val="35"/>
    <w:unhideWhenUsed/>
    <w:rsid w:val="00C53EBA"/>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C53EBA"/>
    <w:pPr>
      <w:spacing w:after="0"/>
      <w:ind w:left="720" w:right="720" w:hanging="720"/>
    </w:pPr>
    <w:rPr>
      <w:rFonts w:ascii="Times New Roman Bold" w:hAnsi="Times New Roman Bold"/>
      <w:b/>
      <w:smallCaps/>
    </w:rPr>
  </w:style>
  <w:style w:type="numbering" w:customStyle="1" w:styleId="Style1">
    <w:name w:val="Style1"/>
    <w:uiPriority w:val="99"/>
    <w:rsid w:val="00C53EBA"/>
    <w:pPr>
      <w:numPr>
        <w:numId w:val="12"/>
      </w:numPr>
    </w:pPr>
  </w:style>
  <w:style w:type="character" w:styleId="CommentReference">
    <w:name w:val="annotation reference"/>
    <w:basedOn w:val="DefaultParagraphFont"/>
    <w:uiPriority w:val="99"/>
    <w:semiHidden/>
    <w:unhideWhenUsed/>
    <w:rsid w:val="00C53EBA"/>
    <w:rPr>
      <w:sz w:val="16"/>
      <w:szCs w:val="16"/>
    </w:rPr>
  </w:style>
  <w:style w:type="paragraph" w:styleId="CommentText">
    <w:name w:val="annotation text"/>
    <w:basedOn w:val="Normal"/>
    <w:link w:val="CommentTextChar"/>
    <w:uiPriority w:val="99"/>
    <w:unhideWhenUsed/>
    <w:rsid w:val="00C53EBA"/>
    <w:pPr>
      <w:spacing w:line="240" w:lineRule="auto"/>
    </w:pPr>
    <w:rPr>
      <w:sz w:val="20"/>
      <w:szCs w:val="20"/>
    </w:rPr>
  </w:style>
  <w:style w:type="character" w:customStyle="1" w:styleId="CommentTextChar">
    <w:name w:val="Comment Text Char"/>
    <w:basedOn w:val="DefaultParagraphFont"/>
    <w:link w:val="CommentText"/>
    <w:uiPriority w:val="99"/>
    <w:rsid w:val="00C53EBA"/>
    <w:rPr>
      <w:sz w:val="20"/>
      <w:szCs w:val="20"/>
    </w:rPr>
  </w:style>
  <w:style w:type="paragraph" w:styleId="CommentSubject">
    <w:name w:val="annotation subject"/>
    <w:basedOn w:val="CommentText"/>
    <w:next w:val="CommentText"/>
    <w:link w:val="CommentSubjectChar"/>
    <w:uiPriority w:val="99"/>
    <w:semiHidden/>
    <w:unhideWhenUsed/>
    <w:rsid w:val="00C53EBA"/>
    <w:rPr>
      <w:b/>
      <w:bCs/>
    </w:rPr>
  </w:style>
  <w:style w:type="character" w:customStyle="1" w:styleId="CommentSubjectChar">
    <w:name w:val="Comment Subject Char"/>
    <w:basedOn w:val="CommentTextChar"/>
    <w:link w:val="CommentSubject"/>
    <w:uiPriority w:val="99"/>
    <w:semiHidden/>
    <w:rsid w:val="00C53EBA"/>
    <w:rPr>
      <w:b/>
      <w:bCs/>
      <w:sz w:val="20"/>
      <w:szCs w:val="20"/>
    </w:rPr>
  </w:style>
  <w:style w:type="paragraph" w:customStyle="1" w:styleId="TOCTitle">
    <w:name w:val="T.O.C. Title"/>
    <w:basedOn w:val="Normal"/>
    <w:qFormat/>
    <w:rsid w:val="00C53EBA"/>
    <w:pPr>
      <w:keepNext/>
      <w:spacing w:before="240" w:after="60"/>
      <w:jc w:val="center"/>
    </w:pPr>
    <w:rPr>
      <w:rFonts w:ascii="Arial" w:hAnsi="Arial" w:cs="Arial"/>
      <w:b/>
      <w:sz w:val="28"/>
      <w:szCs w:val="28"/>
    </w:rPr>
  </w:style>
  <w:style w:type="paragraph" w:customStyle="1" w:styleId="ApHeading1">
    <w:name w:val="Ap Heading 1"/>
    <w:basedOn w:val="Normal"/>
    <w:next w:val="Normal"/>
    <w:link w:val="ApHeading1Char"/>
    <w:qFormat/>
    <w:rsid w:val="00C53EBA"/>
    <w:pPr>
      <w:numPr>
        <w:numId w:val="23"/>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C53EBA"/>
    <w:rPr>
      <w:rFonts w:ascii="Arial" w:eastAsia="MS Gothic" w:hAnsi="Arial" w:cs="Times New Roman"/>
      <w:b/>
      <w:bCs/>
      <w:sz w:val="32"/>
      <w:szCs w:val="28"/>
      <w:lang w:bidi="ar-SA"/>
    </w:rPr>
  </w:style>
  <w:style w:type="paragraph" w:customStyle="1" w:styleId="ApHeading2">
    <w:name w:val="Ap Heading 2"/>
    <w:basedOn w:val="Normal"/>
    <w:next w:val="Normal"/>
    <w:link w:val="ApHeading2Char"/>
    <w:qFormat/>
    <w:rsid w:val="00C53EBA"/>
    <w:pPr>
      <w:numPr>
        <w:ilvl w:val="1"/>
        <w:numId w:val="23"/>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C53EBA"/>
    <w:pPr>
      <w:numPr>
        <w:ilvl w:val="2"/>
        <w:numId w:val="23"/>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C53EBA"/>
    <w:pPr>
      <w:numPr>
        <w:ilvl w:val="3"/>
        <w:numId w:val="23"/>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C13274"/>
    <w:rPr>
      <w:rFonts w:ascii="Arial" w:eastAsia="MS Mincho" w:hAnsi="Arial" w:cs="Times New Roman"/>
      <w:b/>
      <w:sz w:val="28"/>
      <w:szCs w:val="20"/>
      <w:lang w:bidi="ar-SA"/>
    </w:rPr>
  </w:style>
  <w:style w:type="character" w:customStyle="1" w:styleId="ApHeading3Char">
    <w:name w:val="Ap Heading 3 Char"/>
    <w:basedOn w:val="DefaultParagraphFont"/>
    <w:link w:val="ApHeading3"/>
    <w:rsid w:val="00C13274"/>
    <w:rPr>
      <w:rFonts w:ascii="Arial" w:eastAsia="MS Mincho" w:hAnsi="Arial" w:cs="Times New Roman"/>
      <w:b/>
      <w:sz w:val="24"/>
      <w:szCs w:val="20"/>
      <w:lang w:bidi="ar-SA"/>
    </w:rPr>
  </w:style>
  <w:style w:type="character" w:customStyle="1" w:styleId="ApHeading4Char">
    <w:name w:val="Ap Heading 4 Char"/>
    <w:basedOn w:val="DefaultParagraphFont"/>
    <w:link w:val="ApHeading4"/>
    <w:rsid w:val="00C13274"/>
    <w:rPr>
      <w:rFonts w:ascii="Cambria" w:eastAsia="MS Mincho" w:hAnsi="Cambria" w:cs="Times New Roman"/>
      <w:b/>
      <w:sz w:val="24"/>
      <w:szCs w:val="20"/>
      <w:lang w:bidi="ar-SA"/>
    </w:rPr>
  </w:style>
  <w:style w:type="character" w:styleId="FollowedHyperlink">
    <w:name w:val="FollowedHyperlink"/>
    <w:basedOn w:val="DefaultParagraphFont"/>
    <w:uiPriority w:val="99"/>
    <w:semiHidden/>
    <w:unhideWhenUsed/>
    <w:rsid w:val="0080070C"/>
    <w:rPr>
      <w:color w:val="800080" w:themeColor="followedHyperlink"/>
      <w:u w:val="single"/>
    </w:rPr>
  </w:style>
  <w:style w:type="paragraph" w:styleId="Revision">
    <w:name w:val="Revision"/>
    <w:hidden/>
    <w:uiPriority w:val="99"/>
    <w:semiHidden/>
    <w:rsid w:val="00F55647"/>
    <w:pPr>
      <w:spacing w:after="0" w:line="240" w:lineRule="auto"/>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BA"/>
    <w:pPr>
      <w:spacing w:after="120"/>
      <w:jc w:val="both"/>
    </w:pPr>
    <w:rPr>
      <w:sz w:val="24"/>
    </w:rPr>
  </w:style>
  <w:style w:type="paragraph" w:styleId="Heading1">
    <w:name w:val="heading 1"/>
    <w:basedOn w:val="Normal"/>
    <w:next w:val="Normal"/>
    <w:link w:val="Heading1Char"/>
    <w:autoRedefine/>
    <w:uiPriority w:val="9"/>
    <w:qFormat/>
    <w:rsid w:val="00C53EBA"/>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53EBA"/>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C53EBA"/>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C53EBA"/>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C53EBA"/>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3EBA"/>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3EBA"/>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3EBA"/>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3EBA"/>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B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C53EBA"/>
    <w:rPr>
      <w:rFonts w:ascii="Arial" w:eastAsiaTheme="majorEastAsia" w:hAnsi="Arial" w:cstheme="majorBidi"/>
      <w:b/>
      <w:bCs/>
      <w:sz w:val="28"/>
      <w:szCs w:val="26"/>
    </w:rPr>
  </w:style>
  <w:style w:type="paragraph" w:styleId="Header">
    <w:name w:val="header"/>
    <w:basedOn w:val="Normal"/>
    <w:link w:val="HeaderChar"/>
    <w:uiPriority w:val="99"/>
    <w:unhideWhenUsed/>
    <w:rsid w:val="00C53EBA"/>
    <w:pPr>
      <w:tabs>
        <w:tab w:val="center" w:pos="4680"/>
        <w:tab w:val="right" w:pos="9360"/>
      </w:tabs>
      <w:spacing w:after="0"/>
    </w:pPr>
    <w:rPr>
      <w:b/>
      <w:sz w:val="20"/>
    </w:rPr>
  </w:style>
  <w:style w:type="character" w:customStyle="1" w:styleId="HeaderChar">
    <w:name w:val="Header Char"/>
    <w:basedOn w:val="DefaultParagraphFont"/>
    <w:link w:val="Header"/>
    <w:uiPriority w:val="99"/>
    <w:rsid w:val="00C53EBA"/>
    <w:rPr>
      <w:b/>
      <w:sz w:val="20"/>
    </w:rPr>
  </w:style>
  <w:style w:type="paragraph" w:styleId="Footer">
    <w:name w:val="footer"/>
    <w:aliases w:val=" Char Char Char Char Char Char,Char Char Char Char Char Char"/>
    <w:basedOn w:val="Normal"/>
    <w:link w:val="FooterChar"/>
    <w:uiPriority w:val="99"/>
    <w:unhideWhenUsed/>
    <w:rsid w:val="00C53EBA"/>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C53EBA"/>
    <w:rPr>
      <w:b/>
      <w:sz w:val="20"/>
    </w:rPr>
  </w:style>
  <w:style w:type="paragraph" w:styleId="ListParagraph">
    <w:name w:val="List Paragraph"/>
    <w:basedOn w:val="Normal"/>
    <w:uiPriority w:val="34"/>
    <w:qFormat/>
    <w:rsid w:val="00C53EBA"/>
    <w:pPr>
      <w:ind w:left="720"/>
      <w:contextualSpacing/>
    </w:pPr>
  </w:style>
  <w:style w:type="character" w:customStyle="1" w:styleId="Heading3Char">
    <w:name w:val="Heading 3 Char"/>
    <w:basedOn w:val="DefaultParagraphFont"/>
    <w:link w:val="Heading3"/>
    <w:uiPriority w:val="9"/>
    <w:rsid w:val="00C53EBA"/>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C53EBA"/>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C53EBA"/>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C53EBA"/>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C53EBA"/>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53EB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EB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3EBA"/>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C53EBA"/>
    <w:rPr>
      <w:rFonts w:ascii="Arial" w:eastAsiaTheme="majorEastAsia" w:hAnsi="Arial" w:cstheme="majorBidi"/>
      <w:b/>
      <w:spacing w:val="5"/>
      <w:sz w:val="48"/>
      <w:szCs w:val="52"/>
    </w:rPr>
  </w:style>
  <w:style w:type="paragraph" w:styleId="Subtitle">
    <w:name w:val="Subtitle"/>
    <w:basedOn w:val="Normal"/>
    <w:next w:val="Normal"/>
    <w:link w:val="SubtitleChar"/>
    <w:uiPriority w:val="11"/>
    <w:qFormat/>
    <w:rsid w:val="00C53EBA"/>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C53EBA"/>
    <w:rPr>
      <w:rFonts w:ascii="Arial" w:eastAsiaTheme="majorEastAsia" w:hAnsi="Arial" w:cstheme="majorBidi"/>
      <w:b/>
      <w:i/>
      <w:iCs/>
      <w:spacing w:val="13"/>
      <w:sz w:val="48"/>
      <w:szCs w:val="24"/>
    </w:rPr>
  </w:style>
  <w:style w:type="character" w:styleId="Strong">
    <w:name w:val="Strong"/>
    <w:uiPriority w:val="22"/>
    <w:qFormat/>
    <w:rsid w:val="00C53EBA"/>
    <w:rPr>
      <w:b/>
      <w:bCs/>
    </w:rPr>
  </w:style>
  <w:style w:type="character" w:styleId="Emphasis">
    <w:name w:val="Emphasis"/>
    <w:uiPriority w:val="20"/>
    <w:qFormat/>
    <w:rsid w:val="00C53EBA"/>
    <w:rPr>
      <w:b/>
      <w:bCs/>
      <w:i/>
      <w:iCs/>
      <w:spacing w:val="10"/>
      <w:bdr w:val="none" w:sz="0" w:space="0" w:color="auto"/>
      <w:shd w:val="clear" w:color="auto" w:fill="auto"/>
    </w:rPr>
  </w:style>
  <w:style w:type="paragraph" w:styleId="NoSpacing">
    <w:name w:val="No Spacing"/>
    <w:basedOn w:val="Normal"/>
    <w:uiPriority w:val="1"/>
    <w:qFormat/>
    <w:rsid w:val="00C53EBA"/>
    <w:pPr>
      <w:spacing w:after="0" w:line="240" w:lineRule="auto"/>
    </w:pPr>
  </w:style>
  <w:style w:type="paragraph" w:styleId="Quote">
    <w:name w:val="Quote"/>
    <w:basedOn w:val="Normal"/>
    <w:next w:val="Normal"/>
    <w:link w:val="QuoteChar"/>
    <w:uiPriority w:val="29"/>
    <w:qFormat/>
    <w:rsid w:val="00C53EBA"/>
    <w:pPr>
      <w:spacing w:before="200" w:after="0"/>
      <w:ind w:left="360" w:right="360"/>
    </w:pPr>
    <w:rPr>
      <w:i/>
      <w:iCs/>
    </w:rPr>
  </w:style>
  <w:style w:type="character" w:customStyle="1" w:styleId="QuoteChar">
    <w:name w:val="Quote Char"/>
    <w:basedOn w:val="DefaultParagraphFont"/>
    <w:link w:val="Quote"/>
    <w:uiPriority w:val="29"/>
    <w:rsid w:val="00C53EBA"/>
    <w:rPr>
      <w:i/>
      <w:iCs/>
      <w:sz w:val="24"/>
    </w:rPr>
  </w:style>
  <w:style w:type="paragraph" w:styleId="IntenseQuote">
    <w:name w:val="Intense Quote"/>
    <w:basedOn w:val="Normal"/>
    <w:next w:val="Normal"/>
    <w:link w:val="IntenseQuoteChar"/>
    <w:uiPriority w:val="30"/>
    <w:qFormat/>
    <w:rsid w:val="00C53EB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C53EBA"/>
    <w:rPr>
      <w:b/>
      <w:bCs/>
      <w:i/>
      <w:iCs/>
      <w:sz w:val="24"/>
    </w:rPr>
  </w:style>
  <w:style w:type="character" w:styleId="SubtleEmphasis">
    <w:name w:val="Subtle Emphasis"/>
    <w:uiPriority w:val="19"/>
    <w:qFormat/>
    <w:rsid w:val="00C53EBA"/>
    <w:rPr>
      <w:i/>
      <w:iCs/>
    </w:rPr>
  </w:style>
  <w:style w:type="character" w:styleId="IntenseEmphasis">
    <w:name w:val="Intense Emphasis"/>
    <w:uiPriority w:val="21"/>
    <w:qFormat/>
    <w:rsid w:val="00C53EBA"/>
    <w:rPr>
      <w:b/>
      <w:bCs/>
    </w:rPr>
  </w:style>
  <w:style w:type="character" w:styleId="SubtleReference">
    <w:name w:val="Subtle Reference"/>
    <w:uiPriority w:val="31"/>
    <w:qFormat/>
    <w:rsid w:val="00C53EBA"/>
    <w:rPr>
      <w:smallCaps/>
    </w:rPr>
  </w:style>
  <w:style w:type="character" w:styleId="IntenseReference">
    <w:name w:val="Intense Reference"/>
    <w:uiPriority w:val="32"/>
    <w:qFormat/>
    <w:rsid w:val="00C53EBA"/>
    <w:rPr>
      <w:smallCaps/>
      <w:spacing w:val="5"/>
      <w:u w:val="single"/>
    </w:rPr>
  </w:style>
  <w:style w:type="character" w:styleId="BookTitle">
    <w:name w:val="Book Title"/>
    <w:uiPriority w:val="33"/>
    <w:qFormat/>
    <w:rsid w:val="00C53EBA"/>
    <w:rPr>
      <w:i/>
      <w:iCs/>
      <w:smallCaps/>
      <w:spacing w:val="5"/>
    </w:rPr>
  </w:style>
  <w:style w:type="paragraph" w:styleId="TOCHeading">
    <w:name w:val="TOC Heading"/>
    <w:basedOn w:val="Heading1"/>
    <w:next w:val="Normal"/>
    <w:uiPriority w:val="39"/>
    <w:semiHidden/>
    <w:unhideWhenUsed/>
    <w:qFormat/>
    <w:rsid w:val="00C53EBA"/>
    <w:pPr>
      <w:outlineLvl w:val="9"/>
    </w:pPr>
  </w:style>
  <w:style w:type="paragraph" w:styleId="BalloonText">
    <w:name w:val="Balloon Text"/>
    <w:basedOn w:val="Normal"/>
    <w:link w:val="BalloonTextChar"/>
    <w:uiPriority w:val="99"/>
    <w:semiHidden/>
    <w:unhideWhenUsed/>
    <w:rsid w:val="00C5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BA"/>
    <w:rPr>
      <w:rFonts w:ascii="Tahoma" w:hAnsi="Tahoma" w:cs="Tahoma"/>
      <w:sz w:val="16"/>
      <w:szCs w:val="16"/>
    </w:rPr>
  </w:style>
  <w:style w:type="table" w:styleId="TableGrid">
    <w:name w:val="Table Grid"/>
    <w:basedOn w:val="TableNormal"/>
    <w:uiPriority w:val="59"/>
    <w:rsid w:val="00C53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3EBA"/>
    <w:rPr>
      <w:color w:val="808080"/>
    </w:rPr>
  </w:style>
  <w:style w:type="paragraph" w:styleId="FootnoteText">
    <w:name w:val="footnote text"/>
    <w:basedOn w:val="Normal"/>
    <w:link w:val="FootnoteTextChar"/>
    <w:uiPriority w:val="99"/>
    <w:semiHidden/>
    <w:unhideWhenUsed/>
    <w:rsid w:val="00C53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EBA"/>
    <w:rPr>
      <w:sz w:val="20"/>
      <w:szCs w:val="20"/>
    </w:rPr>
  </w:style>
  <w:style w:type="character" w:styleId="FootnoteReference">
    <w:name w:val="footnote reference"/>
    <w:basedOn w:val="DefaultParagraphFont"/>
    <w:uiPriority w:val="99"/>
    <w:semiHidden/>
    <w:unhideWhenUsed/>
    <w:rsid w:val="00C53EBA"/>
    <w:rPr>
      <w:vertAlign w:val="superscript"/>
    </w:rPr>
  </w:style>
  <w:style w:type="paragraph" w:styleId="TOC2">
    <w:name w:val="toc 2"/>
    <w:basedOn w:val="Normal"/>
    <w:next w:val="Normal"/>
    <w:autoRedefine/>
    <w:uiPriority w:val="39"/>
    <w:unhideWhenUsed/>
    <w:qFormat/>
    <w:rsid w:val="00C53EBA"/>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C53EBA"/>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C53EBA"/>
    <w:rPr>
      <w:color w:val="0000FF" w:themeColor="hyperlink"/>
      <w:u w:val="single"/>
    </w:rPr>
  </w:style>
  <w:style w:type="paragraph" w:styleId="TOC3">
    <w:name w:val="toc 3"/>
    <w:basedOn w:val="Normal"/>
    <w:next w:val="Normal"/>
    <w:autoRedefine/>
    <w:uiPriority w:val="39"/>
    <w:unhideWhenUsed/>
    <w:rsid w:val="00C53EBA"/>
    <w:pPr>
      <w:tabs>
        <w:tab w:val="right" w:leader="dot" w:pos="9350"/>
      </w:tabs>
      <w:spacing w:after="100"/>
      <w:ind w:left="1166" w:right="720" w:hanging="720"/>
    </w:pPr>
  </w:style>
  <w:style w:type="paragraph" w:styleId="Caption">
    <w:name w:val="caption"/>
    <w:basedOn w:val="Normal"/>
    <w:next w:val="Normal"/>
    <w:uiPriority w:val="35"/>
    <w:unhideWhenUsed/>
    <w:rsid w:val="00C53EBA"/>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C53EBA"/>
    <w:pPr>
      <w:spacing w:after="0"/>
      <w:ind w:left="720" w:right="720" w:hanging="720"/>
    </w:pPr>
    <w:rPr>
      <w:rFonts w:ascii="Times New Roman Bold" w:hAnsi="Times New Roman Bold"/>
      <w:b/>
      <w:smallCaps/>
    </w:rPr>
  </w:style>
  <w:style w:type="numbering" w:customStyle="1" w:styleId="Style1">
    <w:name w:val="Style1"/>
    <w:uiPriority w:val="99"/>
    <w:rsid w:val="00C53EBA"/>
    <w:pPr>
      <w:numPr>
        <w:numId w:val="12"/>
      </w:numPr>
    </w:pPr>
  </w:style>
  <w:style w:type="character" w:styleId="CommentReference">
    <w:name w:val="annotation reference"/>
    <w:basedOn w:val="DefaultParagraphFont"/>
    <w:uiPriority w:val="99"/>
    <w:semiHidden/>
    <w:unhideWhenUsed/>
    <w:rsid w:val="00C53EBA"/>
    <w:rPr>
      <w:sz w:val="16"/>
      <w:szCs w:val="16"/>
    </w:rPr>
  </w:style>
  <w:style w:type="paragraph" w:styleId="CommentText">
    <w:name w:val="annotation text"/>
    <w:basedOn w:val="Normal"/>
    <w:link w:val="CommentTextChar"/>
    <w:uiPriority w:val="99"/>
    <w:unhideWhenUsed/>
    <w:rsid w:val="00C53EBA"/>
    <w:pPr>
      <w:spacing w:line="240" w:lineRule="auto"/>
    </w:pPr>
    <w:rPr>
      <w:sz w:val="20"/>
      <w:szCs w:val="20"/>
    </w:rPr>
  </w:style>
  <w:style w:type="character" w:customStyle="1" w:styleId="CommentTextChar">
    <w:name w:val="Comment Text Char"/>
    <w:basedOn w:val="DefaultParagraphFont"/>
    <w:link w:val="CommentText"/>
    <w:uiPriority w:val="99"/>
    <w:rsid w:val="00C53EBA"/>
    <w:rPr>
      <w:sz w:val="20"/>
      <w:szCs w:val="20"/>
    </w:rPr>
  </w:style>
  <w:style w:type="paragraph" w:styleId="CommentSubject">
    <w:name w:val="annotation subject"/>
    <w:basedOn w:val="CommentText"/>
    <w:next w:val="CommentText"/>
    <w:link w:val="CommentSubjectChar"/>
    <w:uiPriority w:val="99"/>
    <w:semiHidden/>
    <w:unhideWhenUsed/>
    <w:rsid w:val="00C53EBA"/>
    <w:rPr>
      <w:b/>
      <w:bCs/>
    </w:rPr>
  </w:style>
  <w:style w:type="character" w:customStyle="1" w:styleId="CommentSubjectChar">
    <w:name w:val="Comment Subject Char"/>
    <w:basedOn w:val="CommentTextChar"/>
    <w:link w:val="CommentSubject"/>
    <w:uiPriority w:val="99"/>
    <w:semiHidden/>
    <w:rsid w:val="00C53EBA"/>
    <w:rPr>
      <w:b/>
      <w:bCs/>
      <w:sz w:val="20"/>
      <w:szCs w:val="20"/>
    </w:rPr>
  </w:style>
  <w:style w:type="paragraph" w:customStyle="1" w:styleId="TOCTitle">
    <w:name w:val="T.O.C. Title"/>
    <w:basedOn w:val="Normal"/>
    <w:qFormat/>
    <w:rsid w:val="00C53EBA"/>
    <w:pPr>
      <w:keepNext/>
      <w:spacing w:before="240" w:after="60"/>
      <w:jc w:val="center"/>
    </w:pPr>
    <w:rPr>
      <w:rFonts w:ascii="Arial" w:hAnsi="Arial" w:cs="Arial"/>
      <w:b/>
      <w:sz w:val="28"/>
      <w:szCs w:val="28"/>
    </w:rPr>
  </w:style>
  <w:style w:type="paragraph" w:customStyle="1" w:styleId="ApHeading1">
    <w:name w:val="Ap Heading 1"/>
    <w:basedOn w:val="Normal"/>
    <w:next w:val="Normal"/>
    <w:link w:val="ApHeading1Char"/>
    <w:qFormat/>
    <w:rsid w:val="00C53EBA"/>
    <w:pPr>
      <w:numPr>
        <w:numId w:val="23"/>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C53EBA"/>
    <w:rPr>
      <w:rFonts w:ascii="Arial" w:eastAsia="MS Gothic" w:hAnsi="Arial" w:cs="Times New Roman"/>
      <w:b/>
      <w:bCs/>
      <w:sz w:val="32"/>
      <w:szCs w:val="28"/>
      <w:lang w:bidi="ar-SA"/>
    </w:rPr>
  </w:style>
  <w:style w:type="paragraph" w:customStyle="1" w:styleId="ApHeading2">
    <w:name w:val="Ap Heading 2"/>
    <w:basedOn w:val="Normal"/>
    <w:next w:val="Normal"/>
    <w:link w:val="ApHeading2Char"/>
    <w:qFormat/>
    <w:rsid w:val="00C53EBA"/>
    <w:pPr>
      <w:numPr>
        <w:ilvl w:val="1"/>
        <w:numId w:val="23"/>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C53EBA"/>
    <w:pPr>
      <w:numPr>
        <w:ilvl w:val="2"/>
        <w:numId w:val="23"/>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C53EBA"/>
    <w:pPr>
      <w:numPr>
        <w:ilvl w:val="3"/>
        <w:numId w:val="23"/>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C13274"/>
    <w:rPr>
      <w:rFonts w:ascii="Arial" w:eastAsia="MS Mincho" w:hAnsi="Arial" w:cs="Times New Roman"/>
      <w:b/>
      <w:sz w:val="28"/>
      <w:szCs w:val="20"/>
      <w:lang w:bidi="ar-SA"/>
    </w:rPr>
  </w:style>
  <w:style w:type="character" w:customStyle="1" w:styleId="ApHeading3Char">
    <w:name w:val="Ap Heading 3 Char"/>
    <w:basedOn w:val="DefaultParagraphFont"/>
    <w:link w:val="ApHeading3"/>
    <w:rsid w:val="00C13274"/>
    <w:rPr>
      <w:rFonts w:ascii="Arial" w:eastAsia="MS Mincho" w:hAnsi="Arial" w:cs="Times New Roman"/>
      <w:b/>
      <w:sz w:val="24"/>
      <w:szCs w:val="20"/>
      <w:lang w:bidi="ar-SA"/>
    </w:rPr>
  </w:style>
  <w:style w:type="character" w:customStyle="1" w:styleId="ApHeading4Char">
    <w:name w:val="Ap Heading 4 Char"/>
    <w:basedOn w:val="DefaultParagraphFont"/>
    <w:link w:val="ApHeading4"/>
    <w:rsid w:val="00C13274"/>
    <w:rPr>
      <w:rFonts w:ascii="Cambria" w:eastAsia="MS Mincho" w:hAnsi="Cambria" w:cs="Times New Roman"/>
      <w:b/>
      <w:sz w:val="24"/>
      <w:szCs w:val="20"/>
      <w:lang w:bidi="ar-SA"/>
    </w:rPr>
  </w:style>
  <w:style w:type="character" w:styleId="FollowedHyperlink">
    <w:name w:val="FollowedHyperlink"/>
    <w:basedOn w:val="DefaultParagraphFont"/>
    <w:uiPriority w:val="99"/>
    <w:semiHidden/>
    <w:unhideWhenUsed/>
    <w:rsid w:val="0080070C"/>
    <w:rPr>
      <w:color w:val="800080" w:themeColor="followedHyperlink"/>
      <w:u w:val="single"/>
    </w:rPr>
  </w:style>
  <w:style w:type="paragraph" w:styleId="Revision">
    <w:name w:val="Revision"/>
    <w:hidden/>
    <w:uiPriority w:val="99"/>
    <w:semiHidden/>
    <w:rsid w:val="00F5564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8757">
      <w:bodyDiv w:val="1"/>
      <w:marLeft w:val="0"/>
      <w:marRight w:val="0"/>
      <w:marTop w:val="0"/>
      <w:marBottom w:val="0"/>
      <w:divBdr>
        <w:top w:val="none" w:sz="0" w:space="0" w:color="auto"/>
        <w:left w:val="none" w:sz="0" w:space="0" w:color="auto"/>
        <w:bottom w:val="none" w:sz="0" w:space="0" w:color="auto"/>
        <w:right w:val="none" w:sz="0" w:space="0" w:color="auto"/>
      </w:divBdr>
    </w:div>
    <w:div w:id="540751213">
      <w:bodyDiv w:val="1"/>
      <w:marLeft w:val="0"/>
      <w:marRight w:val="0"/>
      <w:marTop w:val="0"/>
      <w:marBottom w:val="0"/>
      <w:divBdr>
        <w:top w:val="none" w:sz="0" w:space="0" w:color="auto"/>
        <w:left w:val="none" w:sz="0" w:space="0" w:color="auto"/>
        <w:bottom w:val="none" w:sz="0" w:space="0" w:color="auto"/>
        <w:right w:val="none" w:sz="0" w:space="0" w:color="auto"/>
      </w:divBdr>
    </w:div>
    <w:div w:id="1332029724">
      <w:bodyDiv w:val="1"/>
      <w:marLeft w:val="0"/>
      <w:marRight w:val="0"/>
      <w:marTop w:val="0"/>
      <w:marBottom w:val="0"/>
      <w:divBdr>
        <w:top w:val="none" w:sz="0" w:space="0" w:color="auto"/>
        <w:left w:val="none" w:sz="0" w:space="0" w:color="auto"/>
        <w:bottom w:val="none" w:sz="0" w:space="0" w:color="auto"/>
        <w:right w:val="none" w:sz="0" w:space="0" w:color="auto"/>
      </w:divBdr>
    </w:div>
    <w:div w:id="2004159912">
      <w:bodyDiv w:val="1"/>
      <w:marLeft w:val="0"/>
      <w:marRight w:val="0"/>
      <w:marTop w:val="0"/>
      <w:marBottom w:val="0"/>
      <w:divBdr>
        <w:top w:val="none" w:sz="0" w:space="0" w:color="auto"/>
        <w:left w:val="none" w:sz="0" w:space="0" w:color="auto"/>
        <w:bottom w:val="none" w:sz="0" w:space="0" w:color="auto"/>
        <w:right w:val="none" w:sz="0" w:space="0" w:color="auto"/>
      </w:divBdr>
      <w:divsChild>
        <w:div w:id="681590164">
          <w:marLeft w:val="0"/>
          <w:marRight w:val="0"/>
          <w:marTop w:val="0"/>
          <w:marBottom w:val="0"/>
          <w:divBdr>
            <w:top w:val="none" w:sz="0" w:space="0" w:color="auto"/>
            <w:left w:val="none" w:sz="0" w:space="0" w:color="auto"/>
            <w:bottom w:val="none" w:sz="0" w:space="0" w:color="auto"/>
            <w:right w:val="none" w:sz="0" w:space="0" w:color="auto"/>
          </w:divBdr>
          <w:divsChild>
            <w:div w:id="232858657">
              <w:marLeft w:val="0"/>
              <w:marRight w:val="0"/>
              <w:marTop w:val="0"/>
              <w:marBottom w:val="0"/>
              <w:divBdr>
                <w:top w:val="none" w:sz="0" w:space="0" w:color="auto"/>
                <w:left w:val="none" w:sz="0" w:space="0" w:color="auto"/>
                <w:bottom w:val="none" w:sz="0" w:space="0" w:color="auto"/>
                <w:right w:val="none" w:sz="0" w:space="0" w:color="auto"/>
              </w:divBdr>
              <w:divsChild>
                <w:div w:id="59181467">
                  <w:marLeft w:val="1853"/>
                  <w:marRight w:val="1791"/>
                  <w:marTop w:val="0"/>
                  <w:marBottom w:val="0"/>
                  <w:divBdr>
                    <w:top w:val="single" w:sz="4" w:space="0" w:color="FFFFFF"/>
                    <w:left w:val="single" w:sz="4" w:space="0" w:color="FFFFFF"/>
                    <w:bottom w:val="single" w:sz="4" w:space="0" w:color="FFFFFF"/>
                    <w:right w:val="single" w:sz="4" w:space="0" w:color="FFFFFF"/>
                  </w:divBdr>
                  <w:divsChild>
                    <w:div w:id="9545594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472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footer" Target="footer4.xml"/><Relationship Id="rId19" Type="http://schemas.openxmlformats.org/officeDocument/2006/relationships/header" Target="header7.xml"/><Relationship Id="rId63" Type="http://schemas.openxmlformats.org/officeDocument/2006/relationships/hyperlink" Target="http://neea.org/resource-center/market-research-and-evaluation-reports?topic=532330ab-8fe1-4a25-bfe7-ad8cc53f2e28&amp;sort=PublicationDate+DESC" TargetMode="External"/><Relationship Id="rId64" Type="http://schemas.openxmlformats.org/officeDocument/2006/relationships/hyperlink" Target="http://neea.org/resource-center/market-research-and-evaluation-reports?topic=532330ab-8fe1-4a25-bfe7-ad8cc53f2e28&amp;sort=PublicationDate+DESC" TargetMode="External"/><Relationship Id="rId65" Type="http://schemas.openxmlformats.org/officeDocument/2006/relationships/hyperlink" Target="http://neep.org/Assets/uploads/files/market-strategies/BCE/2013%20BCE%20Strategy_FINAL.pdf" TargetMode="External"/><Relationship Id="rId66" Type="http://schemas.openxmlformats.org/officeDocument/2006/relationships/hyperlink" Target="http://www.nrdc.org/energy/game-consoles/" TargetMode="External"/><Relationship Id="rId67" Type="http://schemas.openxmlformats.org/officeDocument/2006/relationships/hyperlink" Target="http://www.nrdc.org/energy/files/residential-network-IP.pdf" TargetMode="External"/><Relationship Id="rId68" Type="http://schemas.openxmlformats.org/officeDocument/2006/relationships/hyperlink" Target="http://ma-eeac.org/wordpress/wp-content/uploads/MA-Consumer-Electronics-Potential-Qualitative-Research-Study.pdf" TargetMode="External"/><Relationship Id="rId69" Type="http://schemas.openxmlformats.org/officeDocument/2006/relationships/hyperlink" Target="http://ma-eeac.org/wordpress/wp-content/uploads/Massachesetts-Residentail-Retail-Products_Consumer-Electronics-Saturation.pdf" TargetMode="External"/><Relationship Id="rId50" Type="http://schemas.openxmlformats.org/officeDocument/2006/relationships/header" Target="header17.xml"/><Relationship Id="rId51" Type="http://schemas.openxmlformats.org/officeDocument/2006/relationships/hyperlink" Target="http://www.appliance-standards.org/products" TargetMode="External"/><Relationship Id="rId52" Type="http://schemas.openxmlformats.org/officeDocument/2006/relationships/hyperlink" Target="http://energizect.com/residents/programs/energy-star%C2%AE-appliances" TargetMode="External"/><Relationship Id="rId53" Type="http://schemas.openxmlformats.org/officeDocument/2006/relationships/hyperlink" Target="http://www.ecw.org/publications/electricity-savings-opportunities-home-electronics-and-other-plug-devices-minnesota" TargetMode="External"/><Relationship Id="rId54" Type="http://schemas.openxmlformats.org/officeDocument/2006/relationships/hyperlink" Target="http://www.energystar.gov/certified-products/certified-products?c=products.pr_find_es_products&amp;s=mega" TargetMode="External"/><Relationship Id="rId55" Type="http://schemas.openxmlformats.org/officeDocument/2006/relationships/hyperlink" Target="http://www.energystar.gov/?c=most_efficient.me_index" TargetMode="External"/><Relationship Id="rId56" Type="http://schemas.openxmlformats.org/officeDocument/2006/relationships/hyperlink" Target="https://www.energystar.gov/index.cfm?c=partners.unit_shipment_data" TargetMode="External"/><Relationship Id="rId57" Type="http://schemas.openxmlformats.org/officeDocument/2006/relationships/hyperlink" Target="https://www.energystar.gov/products/specs/game_console_version_1_0_recognition_program_pd" TargetMode="External"/><Relationship Id="rId58" Type="http://schemas.openxmlformats.org/officeDocument/2006/relationships/hyperlink" Target="http://www.energystar.gov/certified-products/detail/set_top_boxes_cable_boxes" TargetMode="External"/><Relationship Id="rId59" Type="http://schemas.openxmlformats.org/officeDocument/2006/relationships/hyperlink" Target="http://www.energystar.gov/certified-products/detail/small_network_equipment" TargetMode="External"/><Relationship Id="rId40" Type="http://schemas.openxmlformats.org/officeDocument/2006/relationships/hyperlink" Target="http://www.ecw.org/publications/electricity-savings-opportunities-home-electronics-and-other-plug-devices-minnesota" TargetMode="External"/><Relationship Id="rId41" Type="http://schemas.openxmlformats.org/officeDocument/2006/relationships/header" Target="header14.xml"/><Relationship Id="rId42" Type="http://schemas.openxmlformats.org/officeDocument/2006/relationships/footer" Target="footer11.xml"/><Relationship Id="rId43" Type="http://schemas.openxmlformats.org/officeDocument/2006/relationships/hyperlink" Target="http://www.nrdc.org/energy/files/residential-network-IP.pdf" TargetMode="External"/><Relationship Id="rId44" Type="http://schemas.openxmlformats.org/officeDocument/2006/relationships/hyperlink" Target="http://www.energystar.gov/certified-products/detail/small_network_equipment" TargetMode="External"/><Relationship Id="rId45" Type="http://schemas.openxmlformats.org/officeDocument/2006/relationships/hyperlink" Target="http://www.nrdc.org/energy/game-consoles/" TargetMode="External"/><Relationship Id="rId46" Type="http://schemas.openxmlformats.org/officeDocument/2006/relationships/hyperlink" Target="http://ma-eeac.org/wordpress/wp-content/uploads/Massachesetts-Residentail-Retail-Products_Consumer-Electronics-Saturation.pdf" TargetMode="External"/><Relationship Id="rId47" Type="http://schemas.openxmlformats.org/officeDocument/2006/relationships/header" Target="header15.xml"/><Relationship Id="rId48" Type="http://schemas.openxmlformats.org/officeDocument/2006/relationships/footer" Target="footer12.xml"/><Relationship Id="rId49" Type="http://schemas.openxmlformats.org/officeDocument/2006/relationships/header" Target="header1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hyperlink" Target="http://neea.org/resource-center/market-research-and-evaluation-reports?topic=532330ab-8fe1-4a25-bfe7-ad8cc53f2e28&amp;sort=PublicationDate+DESC" TargetMode="External"/><Relationship Id="rId31" Type="http://schemas.openxmlformats.org/officeDocument/2006/relationships/hyperlink" Target="http://www.energystar.gov/certified-products/detail/televisions" TargetMode="External"/><Relationship Id="rId32" Type="http://schemas.openxmlformats.org/officeDocument/2006/relationships/hyperlink" Target="http://neep.org/Assets/uploads/files/market-strategies/BCE/2013%20BCE%20Strategy_FINAL.pdf" TargetMode="External"/><Relationship Id="rId33" Type="http://schemas.openxmlformats.org/officeDocument/2006/relationships/header" Target="header12.xml"/><Relationship Id="rId34" Type="http://schemas.openxmlformats.org/officeDocument/2006/relationships/footer" Target="footer9.xml"/><Relationship Id="rId35" Type="http://schemas.openxmlformats.org/officeDocument/2006/relationships/hyperlink" Target="http://neea.org/resource-center/market-research-and-evaluation-reports?topic=532330ab-8fe1-4a25-bfe7-ad8cc53f2e28&amp;sort=PublicationDate+DESC" TargetMode="External"/><Relationship Id="rId36" Type="http://schemas.openxmlformats.org/officeDocument/2006/relationships/hyperlink" Target="http://www.energystar.gov/certified-products/detail/set_top_boxes_cable_boxes" TargetMode="External"/><Relationship Id="rId37" Type="http://schemas.openxmlformats.org/officeDocument/2006/relationships/header" Target="header13.xml"/><Relationship Id="rId38" Type="http://schemas.openxmlformats.org/officeDocument/2006/relationships/footer" Target="footer10.xml"/><Relationship Id="rId39" Type="http://schemas.openxmlformats.org/officeDocument/2006/relationships/hyperlink" Target="http://neea.org/resource-center/market-research-and-evaluation-reports?topic=532330ab-8fe1-4a25-bfe7-ad8cc53f2e28&amp;sort=PublicationDate+DESC" TargetMode="External"/><Relationship Id="rId81" Type="http://schemas.microsoft.com/office/2011/relationships/people" Target="people.xml"/><Relationship Id="rId82" Type="http://schemas.microsoft.com/office/2011/relationships/commentsExtended" Target="commentsExtended.xml"/><Relationship Id="rId70" Type="http://schemas.openxmlformats.org/officeDocument/2006/relationships/hyperlink" Target="http://www.toptenusa.org" TargetMode="External"/><Relationship Id="rId71" Type="http://schemas.openxmlformats.org/officeDocument/2006/relationships/hyperlink" Target="http://www1.eere.energy.gov/buildings/appliance_standards/rulemaking.aspx/ruleid/33" TargetMode="External"/><Relationship Id="rId72" Type="http://schemas.openxmlformats.org/officeDocument/2006/relationships/hyperlink" Target="http://www.energy.gov/articles/us-energy-department-pay-television-industry-and-energy-efficiency-groups-announce-set-top" TargetMode="External"/><Relationship Id="rId20" Type="http://schemas.openxmlformats.org/officeDocument/2006/relationships/header" Target="header8.xml"/><Relationship Id="rId21" Type="http://schemas.openxmlformats.org/officeDocument/2006/relationships/footer" Target="footer5.xml"/><Relationship Id="rId22" Type="http://schemas.openxmlformats.org/officeDocument/2006/relationships/header" Target="header9.xml"/><Relationship Id="rId23" Type="http://schemas.openxmlformats.org/officeDocument/2006/relationships/footer" Target="footer6.xml"/><Relationship Id="rId24" Type="http://schemas.openxmlformats.org/officeDocument/2006/relationships/header" Target="header10.xml"/><Relationship Id="rId25" Type="http://schemas.openxmlformats.org/officeDocument/2006/relationships/hyperlink" Target="http://www1.eere.energy.gov/buildings/appliance_standards/rulemaking.aspx/ruleid/33" TargetMode="External"/><Relationship Id="rId26" Type="http://schemas.openxmlformats.org/officeDocument/2006/relationships/hyperlink" Target="http://energy.gov/eere/buildings/standards-and-test-procedures" TargetMode="External"/><Relationship Id="rId27" Type="http://schemas.openxmlformats.org/officeDocument/2006/relationships/header" Target="header11.xml"/><Relationship Id="rId28" Type="http://schemas.openxmlformats.org/officeDocument/2006/relationships/footer" Target="footer7.xml"/><Relationship Id="rId29" Type="http://schemas.openxmlformats.org/officeDocument/2006/relationships/footer" Target="footer8.xml"/><Relationship Id="rId73" Type="http://schemas.openxmlformats.org/officeDocument/2006/relationships/hyperlink" Target="http://energy.gov/eere/buildings/standards-and-test-procedures" TargetMode="External"/><Relationship Id="rId74" Type="http://schemas.openxmlformats.org/officeDocument/2006/relationships/header" Target="header18.xml"/><Relationship Id="rId75" Type="http://schemas.openxmlformats.org/officeDocument/2006/relationships/fontTable" Target="fontTable.xml"/><Relationship Id="rId76" Type="http://schemas.openxmlformats.org/officeDocument/2006/relationships/glossaryDocument" Target="glossary/document.xml"/><Relationship Id="rId77" Type="http://schemas.openxmlformats.org/officeDocument/2006/relationships/theme" Target="theme/theme1.xml"/><Relationship Id="rId60" Type="http://schemas.openxmlformats.org/officeDocument/2006/relationships/hyperlink" Target="http://www.energystar.gov/certified-products/detail/televisions" TargetMode="External"/><Relationship Id="rId61" Type="http://schemas.openxmlformats.org/officeDocument/2006/relationships/hyperlink" Target="http://www.nyserda.ny.gov/-/media/Files/EERP/Residential/Energy-Efficient-and-ENERGY-STAR-Products/Power-Management-Research-Report.pdf" TargetMode="External"/><Relationship Id="rId62" Type="http://schemas.openxmlformats.org/officeDocument/2006/relationships/hyperlink" Target="http://neea.org/resource-center/market-research-and-evaluation-reports?topic=532330ab-8fe1-4a25-bfe7-ad8cc53f2e28&amp;sort=PublicationDate+DESC"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s>
</file>

<file path=word/_rels/footnotes.xml.rels><?xml version="1.0" encoding="UTF-8" standalone="yes"?>
<Relationships xmlns="http://schemas.openxmlformats.org/package/2006/relationships"><Relationship Id="rId11" Type="http://schemas.openxmlformats.org/officeDocument/2006/relationships/hyperlink" Target="https://www.energystar.gov/index.cfm?c=partners.unit_shipment_data" TargetMode="External"/><Relationship Id="rId12" Type="http://schemas.openxmlformats.org/officeDocument/2006/relationships/hyperlink" Target="http://www.nrdc.org/energy/files/residential-network-IP.pdf" TargetMode="External"/><Relationship Id="rId13" Type="http://schemas.openxmlformats.org/officeDocument/2006/relationships/hyperlink" Target="http://ma-eeac.org/wordpress/wp-content/uploads/MA-Consumer-Electronics-Potential-Qualitative-Research-Study.pdf" TargetMode="External"/><Relationship Id="rId14" Type="http://schemas.openxmlformats.org/officeDocument/2006/relationships/hyperlink" Target="http://www.nyserda.ny.gov/-/media/Files/EERP/Residential/Energy-Efficient-and-ENERGY-STAR-Products/Power-Management-Research-Report.pdf" TargetMode="External"/><Relationship Id="rId15" Type="http://schemas.openxmlformats.org/officeDocument/2006/relationships/hyperlink" Target="http://ma-eeac.org/wordpress/wp-content/uploads/Massachesetts-Residentail-Retail-Products_Consumer-Electronics-Saturation.pdf" TargetMode="External"/><Relationship Id="rId1" Type="http://schemas.openxmlformats.org/officeDocument/2006/relationships/hyperlink" Target="http://energizect.com/residents/programs/energy-star%C2%AE-appliances" TargetMode="External"/><Relationship Id="rId2" Type="http://schemas.openxmlformats.org/officeDocument/2006/relationships/hyperlink" Target="http://www.nyserda.ny.gov/-/media/Files/EERP/Residential/Energy-Efficient-and-ENERGY-STAR-Products/Power-Management-Research-Report.pdf" TargetMode="External"/><Relationship Id="rId3" Type="http://schemas.openxmlformats.org/officeDocument/2006/relationships/hyperlink" Target="http://ma-eeac.org/wordpress/wp-content/uploads/Massachesetts-Residentail-Retail-Products_Consumer-Electronics-Saturation.pdf" TargetMode="External"/><Relationship Id="rId4" Type="http://schemas.openxmlformats.org/officeDocument/2006/relationships/hyperlink" Target="http://energizect.com/residents/programs/energy-star%C2%AE-appliances" TargetMode="External"/><Relationship Id="rId5" Type="http://schemas.openxmlformats.org/officeDocument/2006/relationships/hyperlink" Target="http://www.toptenusa.org" TargetMode="External"/><Relationship Id="rId6" Type="http://schemas.openxmlformats.org/officeDocument/2006/relationships/hyperlink" Target="http://www.energystar.gov/certified-products/certified-products?c=products.pr_find_es_products&amp;s=mega" TargetMode="External"/><Relationship Id="rId7" Type="http://schemas.openxmlformats.org/officeDocument/2006/relationships/hyperlink" Target="https://www.energystar.gov/products/specs/game_console_version_1_0_recognition_program_pd" TargetMode="External"/><Relationship Id="rId8" Type="http://schemas.openxmlformats.org/officeDocument/2006/relationships/hyperlink" Target="http://www.energystar.gov/?c=most_efficient.me_index" TargetMode="External"/><Relationship Id="rId9" Type="http://schemas.openxmlformats.org/officeDocument/2006/relationships/hyperlink" Target="http://www.energy.gov/articles/us-energy-department-pay-television-industry-and-energy-efficiency-groups-announce-set-top" TargetMode="External"/><Relationship Id="rId10" Type="http://schemas.openxmlformats.org/officeDocument/2006/relationships/hyperlink" Target="http://www.appliance-standards.org/produc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lzmane\Documents\Templates%20and%20Reference%20docs\NMR%20Report%20Template%202012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E331059EB74FCAA792E05979931C90"/>
        <w:category>
          <w:name w:val="General"/>
          <w:gallery w:val="placeholder"/>
        </w:category>
        <w:types>
          <w:type w:val="bbPlcHdr"/>
        </w:types>
        <w:behaviors>
          <w:behavior w:val="content"/>
        </w:behaviors>
        <w:guid w:val="{008CDF1E-37EE-48AF-A55E-124A3528538C}"/>
      </w:docPartPr>
      <w:docPartBody>
        <w:p w:rsidR="00F86406" w:rsidRDefault="00753CF6">
          <w:pPr>
            <w:pStyle w:val="F4E331059EB74FCAA792E05979931C90"/>
          </w:pPr>
          <w:r w:rsidRPr="00E36FA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F6"/>
    <w:rsid w:val="00005018"/>
    <w:rsid w:val="00040D93"/>
    <w:rsid w:val="001B7D1E"/>
    <w:rsid w:val="00212C11"/>
    <w:rsid w:val="00216AB7"/>
    <w:rsid w:val="00245710"/>
    <w:rsid w:val="002E5EDE"/>
    <w:rsid w:val="00313E94"/>
    <w:rsid w:val="003B078C"/>
    <w:rsid w:val="003B451C"/>
    <w:rsid w:val="00426104"/>
    <w:rsid w:val="00485A22"/>
    <w:rsid w:val="0049743A"/>
    <w:rsid w:val="0053150F"/>
    <w:rsid w:val="005602EC"/>
    <w:rsid w:val="0057485E"/>
    <w:rsid w:val="00574EBC"/>
    <w:rsid w:val="00575A93"/>
    <w:rsid w:val="006115A3"/>
    <w:rsid w:val="0063448D"/>
    <w:rsid w:val="00685989"/>
    <w:rsid w:val="00694E64"/>
    <w:rsid w:val="006959EB"/>
    <w:rsid w:val="006B6D93"/>
    <w:rsid w:val="006E688B"/>
    <w:rsid w:val="00753CF6"/>
    <w:rsid w:val="007A1A2A"/>
    <w:rsid w:val="007A325F"/>
    <w:rsid w:val="007F08C9"/>
    <w:rsid w:val="00851E78"/>
    <w:rsid w:val="0096193D"/>
    <w:rsid w:val="00A065A9"/>
    <w:rsid w:val="00A06E81"/>
    <w:rsid w:val="00AD1806"/>
    <w:rsid w:val="00AF59CC"/>
    <w:rsid w:val="00B10706"/>
    <w:rsid w:val="00B64B65"/>
    <w:rsid w:val="00B66C2D"/>
    <w:rsid w:val="00BD4FEC"/>
    <w:rsid w:val="00BF51A6"/>
    <w:rsid w:val="00C07109"/>
    <w:rsid w:val="00C12F61"/>
    <w:rsid w:val="00C32FAF"/>
    <w:rsid w:val="00C55418"/>
    <w:rsid w:val="00C71F95"/>
    <w:rsid w:val="00C74457"/>
    <w:rsid w:val="00CB0D97"/>
    <w:rsid w:val="00CD7E1B"/>
    <w:rsid w:val="00CE301C"/>
    <w:rsid w:val="00D00A24"/>
    <w:rsid w:val="00D32F10"/>
    <w:rsid w:val="00DA16B9"/>
    <w:rsid w:val="00ED45A7"/>
    <w:rsid w:val="00F86406"/>
    <w:rsid w:val="00F908EC"/>
    <w:rsid w:val="00FA0ADB"/>
    <w:rsid w:val="00FC1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E331059EB74FCAA792E05979931C90">
    <w:name w:val="F4E331059EB74FCAA792E05979931C9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E331059EB74FCAA792E05979931C90">
    <w:name w:val="F4E331059EB74FCAA792E05979931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91FB-5E13-F147-8D3A-B3BF4157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\Users\LGolzmane\Documents\Templates and Reference docs\NMR Report Template 2012_Template.dotx</Template>
  <TotalTime>12</TotalTime>
  <Pages>44</Pages>
  <Words>14787</Words>
  <Characters>84288</Characters>
  <Application>Microsoft Macintosh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NMR Report Template</vt:lpstr>
    </vt:vector>
  </TitlesOfParts>
  <Company>Microsoft</Company>
  <LinksUpToDate>false</LinksUpToDate>
  <CharactersWithSpaces>98878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 Report Template</dc:title>
  <dc:creator>Nicole D. Rosenberg</dc:creator>
  <cp:lastModifiedBy>Craig Diamond</cp:lastModifiedBy>
  <cp:revision>2</cp:revision>
  <cp:lastPrinted>2014-08-28T13:31:00Z</cp:lastPrinted>
  <dcterms:created xsi:type="dcterms:W3CDTF">2014-11-01T15:17:00Z</dcterms:created>
  <dcterms:modified xsi:type="dcterms:W3CDTF">2014-11-01T15:17:00Z</dcterms:modified>
</cp:coreProperties>
</file>